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5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spacing w:after="720"/>
      </w:pPr>
      <w:r>
        <w:rPr>
          <w:rFonts w:ascii="Arial" w:hAnsi="Arial"/>
          <w:b/>
          <w:color w:val="8B9BA5"/>
          <w:sz w:val="20"/>
        </w:rPr>
        <w:t>JANUARY 2026 | STRATEGIC INTELLIGENCE</w:t>
      </w:r>
    </w:p>
    <w:p>
      <w:r>
        <w:rPr>
          <w:rFonts w:ascii="Arial" w:hAnsi="Arial"/>
          <w:b/>
          <w:color w:val="003057"/>
          <w:sz w:val="84"/>
        </w:rPr>
        <w:t>ANIMAL NUTRACEUTICALS</w:t>
      </w:r>
    </w:p>
    <w:p>
      <w:pPr>
        <w:spacing w:after="480"/>
      </w:pPr>
      <w:r>
        <w:rPr>
          <w:rFonts w:ascii="Arial" w:hAnsi="Arial"/>
          <w:color w:val="0089CF"/>
          <w:sz w:val="48"/>
        </w:rPr>
        <w:t>The Wellness Market at an Inflection Point</w:t>
      </w:r>
    </w:p>
    <w:p>
      <w:pPr>
        <w:spacing w:after="1200"/>
      </w:pPr>
      <w:r>
        <w:rPr>
          <w:rFonts w:ascii="Georgia" w:hAnsi="Georgia"/>
          <w:i/>
          <w:sz w:val="28"/>
        </w:rPr>
        <w:t>Mapping value creation across a $6 billion global industry</w:t>
        <w:br/>
        <w:t>driven by pet humanization and the post-antibiotic transition</w:t>
      </w:r>
    </w:p>
    <w:p>
      <w:r>
        <w:br/>
      </w:r>
    </w:p>
    <w:p>
      <w:pPr>
        <w:pStyle w:val="Heading1"/>
        <w:spacing w:before="480" w:after="240"/>
      </w:pPr>
      <w:r>
        <w:rPr>
          <w:rFonts w:ascii="Arial" w:hAnsi="Arial"/>
          <w:b/>
          <w:color w:val="D04A02"/>
          <w:sz w:val="48"/>
        </w:rPr>
        <w:t xml:space="preserve">ANIMAL NUTRACEUTICALS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The Wellness Market at an Inflection Point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JANUARY 2026 | STRATEGIC INTELLIGENCE</w:t>
      </w:r>
    </w:p>
    <w:p>
      <w:pPr>
        <w:pStyle w:val="BodyText"/>
        <w:spacing w:after="160"/>
        <w:jc w:val="both"/>
      </w:pPr>
      <w:r>
        <w:rPr>
          <w:rFonts w:ascii="Georgia" w:hAnsi="Georgia"/>
          <w:i/>
          <w:iCs/>
          <w:color w:val="333333"/>
          <w:sz w:val="22"/>
        </w:rPr>
        <w:t xml:space="preserve">Mapping value creation across a $6 billion global industry driven by pet humanization and the post-antibiotic transition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The Bifurcation of Value: A Financial &amp; Strategic Appraisal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global animal nutraceutical market is pivoting. No longer a monolithic commodity sector, it has crystallized into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$13+ billion investable asset class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(Combined Scope: Pet $6B + Livestock $7B) projected to hit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$18–24 billion by 2035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(CAGR ~5–7% applied to 2024 baseline). This white paper analyzes a market defined by two opposing requirements: the therapeutic management of companion animals (</w:t>
      </w:r>
      <w:r>
        <w:rPr>
          <w:rFonts w:ascii="Georgia" w:hAnsi="Georgia"/>
          <w:b/>
          <w:bCs/>
          <w:color w:val="333333"/>
          <w:sz w:val="22"/>
        </w:rPr>
        <w:t xml:space="preserve">High Margin/Growth Play</w:t>
      </w:r>
      <w:r>
        <w:rPr>
          <w:rFonts w:ascii="Georgia" w:hAnsi="Georgia"/>
          <w:color w:val="333333"/>
          <w:sz w:val="22"/>
        </w:rPr>
        <w:t xml:space="preserve">) and the biochemical optimization of livestock production (</w:t>
      </w:r>
      <w:r>
        <w:rPr>
          <w:rFonts w:ascii="Georgia" w:hAnsi="Georgia"/>
          <w:b/>
          <w:bCs/>
          <w:color w:val="333333"/>
          <w:sz w:val="22"/>
        </w:rPr>
        <w:t xml:space="preserve">High Volume/Resilience Play</w:t>
      </w:r>
      <w:r>
        <w:rPr>
          <w:rFonts w:ascii="Georgia" w:hAnsi="Georgia"/>
          <w:color w:val="333333"/>
          <w:sz w:val="22"/>
        </w:rPr>
        <w:t xml:space="preserve">).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Economic Mechanics Diverge by Sector: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Successful capital allocation demands distinguishing between two mutually exclusive market mechanics.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Pet Economy (~$6B) Offers High Margins: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Driven by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</w:t>
      </w:r>
      <w:r>
        <w:rPr>
          <w:rFonts w:ascii="Georgia" w:hAnsi="Georgia"/>
          <w:b/>
          <w:bCs/>
          <w:color w:val="333333"/>
          <w:sz w:val="22"/>
        </w:rPr>
        <w:t xml:space="preserve">Silver Economy</w:t>
      </w:r>
      <w:r>
        <w:rPr>
          <w:rFonts w:ascii="Georgia" w:hAnsi="Georgia"/>
          <w:color w:val="333333"/>
          <w:sz w:val="22"/>
        </w:rPr>
        <w:t xml:space="preserve">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of aging pets and inelastic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“humanization”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demand, this B2C sector offers high gross margins (60%+) and recurring revenue.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High Valuations for Efficacy: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Assets with demonstrated clinical efficacy command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15–20x EBITDA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Growth Remains Robust: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Projected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CAGR of ~6–9%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Channel Erosion Threatens Margins: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Digital platforms are compressing veterinary margins by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100–200 basis points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Livestock Economy (~$7B) Operates as Sanitary Infrastructure: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Governed by Feed Conversion Ratios (FCR), this B2B sector operates as critical sanitary infrastructure.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Volume-Based Valuation Models: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High-volume industrial model trading 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8–12x EBITDA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with thinner margins (</w:t>
      </w:r>
      <w:r>
        <w:rPr>
          <w:rFonts w:ascii="Georgia" w:hAnsi="Georgia"/>
          <w:b/>
          <w:bCs/>
          <w:color w:val="333333"/>
          <w:sz w:val="22"/>
        </w:rPr>
        <w:t xml:space="preserve">3–10% EBITDA</w:t>
      </w:r>
      <w:r>
        <w:rPr>
          <w:rFonts w:ascii="Georgia" w:hAnsi="Georgia"/>
          <w:color w:val="333333"/>
          <w:sz w:val="22"/>
        </w:rPr>
        <w:t xml:space="preserve">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Regulatory Alpha Drives Adoption: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Strategic Findings Highlight Moats and Arbitrage: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Top Manufacturers Dominate Market: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Top 5 Global Manufacturers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control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~55%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Fragmentation Enables Consolidation: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pet segment remains fragmented, offering a classic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</w:t>
      </w:r>
      <w:r>
        <w:rPr>
          <w:rFonts w:ascii="Georgia" w:hAnsi="Georgia"/>
          <w:b/>
          <w:bCs/>
          <w:color w:val="333333"/>
          <w:sz w:val="22"/>
        </w:rPr>
        <w:t xml:space="preserve">Roll-Up</w:t>
      </w:r>
      <w:r>
        <w:rPr>
          <w:rFonts w:ascii="Georgia" w:hAnsi="Georgia"/>
          <w:color w:val="333333"/>
          <w:sz w:val="22"/>
        </w:rPr>
        <w:t xml:space="preserve">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Asian Regulation Creates Value: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As China and India implement strict antimicrobial guidelines,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$4–6 billion incremental opportunity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(Addressable Herd x Adoption Rate)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Bio-Industrial Innovation Defines Future Value (2026–2035):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Precision &amp; Proof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define future value creation, advancing from anecdotal supplementation to medicalization: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Silver Economy Shifts to Life Extension: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focus in companion animals is shifting from palliative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“senior care”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to active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life extension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Nutrigenomics Enables Genotypic Precision: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Transitioning from phenotypic approximation to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genotypic precision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Sustainability Indices Drive Procurement: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Sustainability is now a procurement specification. Enzymatic solutions targeting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methane reduction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nitrogen retention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Bioreactors Transform Production: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Adopting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bioreactor-based production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Scope of Report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This White Paper guides capital allocation. It deconstructs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Regulatory Grey Zone</w:t>
      </w:r>
      <w:r>
        <w:rPr>
          <w:rFonts w:ascii="Georgia" w:hAnsi="Georgia"/>
          <w:color w:val="333333"/>
          <w:sz w:val="22"/>
        </w:rPr>
        <w:t xml:space="preserve">, analyzes the commodity-to-functional shift, maps the exit landscape, and identifies technologies defining the next decade of value creation.</w:t>
      </w:r>
    </w:p>
    <w:p>
      <w:pPr>
        <w:keepNext/>
        <w:spacing w:after="120"/>
        <w:jc w:val="both"/>
      </w:pPr>
      <w:r>
        <w:rPr>
          <w:rFonts w:ascii="Georgia" w:hAnsi="Georgia"/>
          <w:color w:val="333333"/>
          <w:sz w:val="22"/>
        </w:rPr>
        <w:pict>
          <v:rect style="width:0;height:1.5pt" o:hralign="center" o:hrstd="t" o:hr="t"/>
        </w:pict>
      </w:r>
    </w:p>
    <w:p>
      <w:pPr>
        <w:pStyle w:val="Heading1"/>
        <w:pageBreakBefore/>
        <w:spacing w:before="480" w:after="240"/>
      </w:pPr>
      <w:r>
        <w:rPr>
          <w:rFonts w:ascii="Arial" w:hAnsi="Arial"/>
          <w:b/>
          <w:color w:val="D04A02"/>
          <w:sz w:val="48"/>
        </w:rPr>
        <w:t xml:space="preserve">ANIMAL NUTRACEUTICALS</w:t>
      </w:r>
    </w:p>
    <w:p>
      <w:pPr>
        <w:keepNext/>
        <w:spacing w:after="120"/>
        <w:jc w:val="both"/>
      </w:pPr>
      <w:r>
        <w:rPr>
          <w:rFonts w:ascii="Georgia" w:hAnsi="Georgia"/>
          <w:color w:val="333333"/>
          <w:sz w:val="22"/>
        </w:rPr>
        <w:pict>
          <v:rect style="width:0;height:1.5pt" o:hralign="center" o:hrstd="t" o:hr="t"/>
        </w:pict>
      </w:r>
    </w:p>
    <w:p>
      <w:pPr>
        <w:pStyle w:val="Heading1"/>
        <w:pageBreakBefore/>
        <w:spacing w:before="480" w:after="240"/>
      </w:pPr>
      <w:r>
        <w:rPr>
          <w:rFonts w:ascii="Arial" w:hAnsi="Arial"/>
          <w:b/>
          <w:color w:val="D04A02"/>
          <w:sz w:val="48"/>
        </w:rPr>
        <w:t xml:space="preserve">Executive Summary: A Market Bifurcating into Value and Volume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Structural Bifurcation Has Irreversibly Separated Commoditized Volume from High-Margin Value Assets.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global animal nutraceutical market, currently valued 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$13+ billion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(Sum of Pet + Livestock segments) and trajectory-bound for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$18–24 billion by 2035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(CAGR ~5–7%), is undergoing a fundamental structural partition. This is no longer a monolithic asset class; rather, it has bifurcated into two distinct economic ecosystems with decoupled valuation logic. On the one hand,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Pet Economy (~$6B)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has evolved into a high-margin consumer staple, underpinned by the inelastic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“humanization”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of companion animals, where proven therapeutic efficacy now commands robust valuations of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15–20x EBITDA</w:t>
      </w:r>
      <w:r>
        <w:rPr>
          <w:rFonts w:ascii="Georgia" w:hAnsi="Georgia"/>
          <w:color w:val="333333"/>
          <w:sz w:val="22"/>
        </w:rPr>
        <w:t xml:space="preserve">. In stark contrast,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Livestock Economy (~$7B)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operates as a high-volume industrial utility, governed by strict feed conversion ratios (FCR) and trading as critical sanitary infrastructure 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8–12x EBITDA</w:t>
      </w:r>
      <w:r>
        <w:rPr>
          <w:rFonts w:ascii="Georgia" w:hAnsi="Georgia"/>
          <w:color w:val="333333"/>
          <w:sz w:val="22"/>
        </w:rPr>
        <w:t xml:space="preserve">. Consequently, successful capital allocation now requires a binary strategy: distinct portfolios for high-growth consumer plays versus resilient, volume-driven industrial value.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Divergent Regulatory and Demographic Pressures Are Accelerating the Valuation Gap.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This bifurcation is not merely cyclical but is being actively catalyzed by two opposing secular tailwinds. For livestock, the regulatory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“stick”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is paramount: as global legislators from the EU to East Asia systematically dismantle the antibiotic (AGP) paradigm, producers are forced to adopt nutraceuticals as a biological necessity to sustain yields. Conversely, the companion animal sector is being propelled by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“carrot”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of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“Silver Economy”</w:t>
      </w:r>
      <w:r>
        <w:rPr>
          <w:rFonts w:ascii="Georgia" w:hAnsi="Georgia"/>
          <w:color w:val="333333"/>
          <w:sz w:val="22"/>
        </w:rPr>
        <w:t xml:space="preserve">: an aging pet population is driving demand for complex, life-extending medicalization. This shift from palliative care to active longevity is creating a margin moat so significant that it neutralizes the deflationary impact of digital channel erosion, which is otherwise compressing retail margins by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100–200 basis points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(Retail Margin - DTC Margin).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Market Fragmentation Signals a Valuation Arbitrage Opportunity for Science-Backed Platforms.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current landscape, defined by extreme fragmentation in the high-value pet segment, presents a textbook consolidation super-cycle. As the regulatory burden for market entry intensifies, independent operators lacking validated clinical data will face an existential squeeze. This inevitable flight to quality creates a compelling arbitrage window for sophisticated capital to execute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“Roll-Up”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strategy, aggregating innovative pure-plays under scalable platforms. We assert that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Top 5 Global Manufacturers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(controlling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~55%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of the market) will aggressively acquire intellectual property to defend their dominance. Therefore, the premium multiple—and the highest alpha—will accrue to those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“Pick and Shovel”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technology providers who can authentically deliver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genotypic precision</w:t>
      </w:r>
      <w:r>
        <w:rPr>
          <w:rFonts w:ascii="Georgia" w:hAnsi="Georgia"/>
          <w:color w:val="333333"/>
          <w:sz w:val="22"/>
        </w:rPr>
        <w:t xml:space="preserve">,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methane reduction</w:t>
      </w:r>
      <w:r>
        <w:rPr>
          <w:rFonts w:ascii="Georgia" w:hAnsi="Georgia"/>
          <w:color w:val="333333"/>
          <w:sz w:val="22"/>
        </w:rPr>
        <w:t xml:space="preserve">, 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bioreactor-based production</w:t>
      </w:r>
      <w:r>
        <w:rPr>
          <w:rFonts w:ascii="Georgia" w:hAnsi="Georgia"/>
          <w:color w:val="333333"/>
          <w:sz w:val="22"/>
        </w:rPr>
        <w:t xml:space="preserve">, as these technologies constitute the definitive value drivers of the coming decade.</w:t>
      </w:r>
    </w:p>
    <w:p>
      <w:pPr>
        <w:keepNext/>
        <w:spacing w:after="120"/>
        <w:jc w:val="both"/>
      </w:pPr>
      <w:r>
        <w:rPr>
          <w:rFonts w:ascii="Georgia" w:hAnsi="Georgia"/>
          <w:color w:val="333333"/>
          <w:sz w:val="22"/>
        </w:rPr>
        <w:pict>
          <v:rect style="width:0;height:1.5pt" o:hralign="center" o:hrstd="t" o:hr="t"/>
        </w:pict>
      </w:r>
    </w:p>
    <w:p>
      <w:pPr>
        <w:pStyle w:val="Heading1"/>
        <w:pageBreakBefore/>
        <w:spacing w:before="480" w:after="240"/>
      </w:pPr>
      <w:r>
        <w:rPr>
          <w:rFonts w:ascii="Arial" w:hAnsi="Arial"/>
          <w:b/>
          <w:color w:val="D04A02"/>
          <w:sz w:val="48"/>
        </w:rPr>
        <w:t xml:space="preserve">PART I: Structural Bifurcation Creates Two Distinct Asset Classes</w:t>
      </w:r>
    </w:p>
    <w:p>
      <w:pPr>
        <w:pStyle w:val="FirstParagraph"/>
        <w:spacing w:after="160"/>
        <w:jc w:val="both"/>
      </w:pPr>
      <w:r>
        <w:rPr>
          <w:rFonts w:ascii="Georgia" w:hAnsi="Georgia"/>
          <w:color w:val="333333"/>
          <w:sz w:val="22"/>
        </w:rPr>
        <w:t xml:space="preserve">The animal nutraceutical market is not a single industry; it is two distinct asset classes—Pet and Livestock—fused only by shared supply chains. While both segments are growing, they are driven by diametrically opposing forces: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Regulatory Mandates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in livestock 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Clinical Efficacy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in pets. Part I deconstructs these structural drivers to reveal how regulation acts as a barrier to entry, whilst evidence acts as a ladder to pricing power.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I.1. Regulatory Fragmentation Creates Defensible Moats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Divergent Regulatory Frameworks Act as Strategic Moats.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animal nutraceutical sector operates within a complex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“Grey Zone”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between feed and pharmaceuticals. This ambiguity is not a defect but a structural feature that defines competitive advantage. We assert that successful market entry hinges on navigating the stark divergence between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US focus on Safety (GRAS)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EU mandate for Efficacy (Zootechnical)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(see Figure 1). This regulatory fragmentation acts as a natural selection mechanism: it filters out undercapitalized entrants who cannot fund the requisite safety dossiers for the US or the efficacy trials for the EU, effectively creating a moat for sophisticated incumbents.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“Nutraceutical”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label itself masks this complexity; in reality, companies must choose between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“Feed Additive”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route (Livestock focus, EU-heavy) or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“Supplement”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route (Pet focus, US-heavy), each requiring distinct capital structures.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1: Regulatory Divergence creates structural barriers to entry for non-compliant actors.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1778000"/>
            <wp:effectExtent b="0" l="0" r="0" t="0"/>
            <wp:docPr descr="Regulatory Divergence creates structural barriers to entry for non-compliant actors." title="" id="14" name="Picture"/>
            <a:graphic>
              <a:graphicData uri="http://schemas.openxmlformats.org/drawingml/2006/picture">
                <pic:pic>
                  <pic:nvPicPr>
                    <pic:cNvPr descr="figures/Table_US_vs_EU.png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FDA GFI #293, EU Reg 1831/2003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Regulatory Bans Are the Primary Catalyst for Volume Expansion.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History confirms that in the livestock sector, regulation is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“Stick”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that compels adoption. Two major regulatory events have reshaped the competitive landscape, transforming nutraceuticals from discretionary additives into non-negotiable sanitary infrastructure (see Figure 2).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Global AGP Bans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(EU 2006, US 2017, China 2020) stripped producers of their primary yield tool, creating an immediate, biological vacuum that only functional nutraceuticals (probiotics, organic acids) could fill. Similarly,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EU Zinc Oxide Ban (2022)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forced swine producers to pivot to gut-health alternatives. These events prove that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Regulatory Beta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is the single most potent driver of volume: when a chemical tool is banned, biological alternatives do not just grow; they explode.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2: Regulatory accelerators like AGP bans have historically driven volume adoption.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2667000"/>
            <wp:effectExtent b="0" l="0" r="0" t="0"/>
            <wp:docPr descr="Regulatory accelerators like AGP bans have historically driven volume adoption." title="" id="17" name="Picture"/>
            <a:graphic>
              <a:graphicData uri="http://schemas.openxmlformats.org/drawingml/2006/picture">
                <pic:pic>
                  <pic:nvPicPr>
                    <pic:cNvPr descr="figures/Timeline_Regulations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Analysis based on Regulatory Decrees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Regulatory Classification Dictates Unit Economics.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Investors must distinguish between legal classification and commercial utility, as the regulatory pathway determines pricing power (see Figure 3). Moving from a generic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“Feed Material”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(compliance-driven) to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“Feed Additive”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(function-driven) or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“Veterinary Drug”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(therapy-driven) exponentially increases the strength of permissible claims. This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“Claim Strength”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is directly accretive to gross margins, as it allows companies to charge for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outcomes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rather than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inputs</w:t>
      </w:r>
      <w:r>
        <w:rPr>
          <w:rFonts w:ascii="Georgia" w:hAnsi="Georgia"/>
          <w:color w:val="333333"/>
          <w:sz w:val="22"/>
        </w:rPr>
        <w:t xml:space="preserve">. As illustrated in Table I.1 and reconciled in Figure 4,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$13 billion investable universe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is strictly defined by those assets that have transcended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“Feed Material”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commodity trap to capture the surplus value of functional claims.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3: Regulatory pathways dictate unit economics and allowable claims.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185128"/>
            <wp:effectExtent b="0" l="0" r="0" t="0"/>
            <wp:docPr descr="Regulatory pathways dictate unit economics and allowable claims." title="" id="20" name="Picture"/>
            <a:graphic>
              <a:graphicData uri="http://schemas.openxmlformats.org/drawingml/2006/picture">
                <pic:pic>
                  <pic:nvPicPr>
                    <pic:cNvPr descr="figures/Figure_I_3_Regulatory_Matrix.png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Regulatory Analysis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Table I.1: Global Regulatory Access Strategy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Region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Strategic Imperative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Key Regulation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The Grey Zone Strategy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Market Access Key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|:— |:— |:— |:— |:—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USA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Safety First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Binary: Food vs. Drug.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FDA GFI #293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Position as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“Supplement”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to avoid Drug classification.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NASC Seal</w:t>
      </w:r>
      <w:r>
        <w:rPr>
          <w:rFonts w:ascii="Georgia" w:hAnsi="Georgia"/>
          <w:color w:val="333333"/>
          <w:sz w:val="22"/>
        </w:rPr>
        <w:t xml:space="preserve">: The de facto license to operate.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EU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Efficacy First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Feed vs. VMP.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Reg (EC) 1831/2003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Leverage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“Zootechnical”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category for premium claims.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EFSA Dossier</w:t>
      </w:r>
      <w:r>
        <w:rPr>
          <w:rFonts w:ascii="Georgia" w:hAnsi="Georgia"/>
          <w:color w:val="333333"/>
          <w:sz w:val="22"/>
        </w:rPr>
        <w:t xml:space="preserve">: High capital barrier to entry.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China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Compliance First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Strictly Regulated.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MoA Decree 20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“Pet Feed”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classification is the only viable route.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MARA License</w:t>
      </w:r>
      <w:r>
        <w:rPr>
          <w:rFonts w:ascii="Georgia" w:hAnsi="Georgia"/>
          <w:color w:val="333333"/>
          <w:sz w:val="22"/>
        </w:rPr>
        <w:t xml:space="preserve">: Mandatory and rigorous. |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4: Market reconciliation excludes commodities to define the investable high-value universe.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92770"/>
            <wp:effectExtent b="0" l="0" r="0" t="0"/>
            <wp:docPr descr="Market reconciliation excludes commodities to define the investable high-value universe." title="" id="23" name="Picture"/>
            <a:graphic>
              <a:graphicData uri="http://schemas.openxmlformats.org/drawingml/2006/picture">
                <pic:pic>
                  <pic:nvPicPr>
                    <pic:cNvPr descr="figures/Figure_TAM_Reconciliation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2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Grand View Research (2024), Euromonitor (2024)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I.2. Clinical Evidence Determines Pricing Power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Clinical Efficacy is the Only Defensible Moat Against Commoditization.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In a market saturated with generic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“fairy dust,”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our analysis confirms that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Clinical Validity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is the primary determinant of pricing power and gross margin expansion. We identify a direct, non-linear correlation between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Level of Evidence (LoE)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 the commercial architecture a product can sustain (see Table I.2). While commodity players fight a race to the bottom,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“Pharma-Nutra”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players utilize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Level A (Therapeutic)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evidence—Randomized Controlled Trials (RCTs)—to unlock the Veterinary Channel. This is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“Clinical Cliff”</w:t>
      </w:r>
      <w:r>
        <w:rPr>
          <w:rFonts w:ascii="Georgia" w:hAnsi="Georgia"/>
          <w:color w:val="333333"/>
          <w:sz w:val="22"/>
        </w:rPr>
        <w:t xml:space="preserve">: products without evidence fall into the commodity abyss, while those with evidence ascend to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Quasi-Drug status</w:t>
      </w:r>
      <w:r>
        <w:rPr>
          <w:rFonts w:ascii="Georgia" w:hAnsi="Georgia"/>
          <w:color w:val="333333"/>
          <w:sz w:val="22"/>
        </w:rPr>
        <w:t xml:space="preserve">, commanding price premiums of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+40% to +150%</w:t>
      </w:r>
      <w:r>
        <w:rPr>
          <w:rFonts w:ascii="Georgia" w:hAnsi="Georgia"/>
          <w:color w:val="333333"/>
          <w:sz w:val="22"/>
        </w:rPr>
        <w:t xml:space="preserve">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Table I.2: The Evidence-Premium Matrix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Evidence Level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Commercial Class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Sales Mechanics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Price Premium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Strategic Implication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|:— |:— |:— |:— |:—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Level A (Therapeutic)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Quasi-Drug / Rx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Technical Sales (DVMs/PhDs).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High-Touch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“Hunter”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Model.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+40% to +150%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Moat: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Clinical data creates a barrier to entry that generic competitors cannot breach. Examples: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Multimin 90, Dasuquin</w:t>
      </w:r>
      <w:r>
        <w:rPr>
          <w:rFonts w:ascii="Georgia" w:hAnsi="Georgia"/>
          <w:color w:val="333333"/>
          <w:sz w:val="22"/>
        </w:rPr>
        <w:t xml:space="preserve">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Level B (Functional)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Premium OTC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Key Account Managers.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Edu-Marketing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“Consultant”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Model.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+15% to +30%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Standard: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minimum viable threshold for entering the veterinary channel. Examples: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OmniGen-AF, Zesty Paws</w:t>
      </w:r>
      <w:r>
        <w:rPr>
          <w:rFonts w:ascii="Georgia" w:hAnsi="Georgia"/>
          <w:color w:val="333333"/>
          <w:sz w:val="22"/>
        </w:rPr>
        <w:t xml:space="preserve">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Level C (Generic)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Commodity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Distributors / Wholesalers.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Low-Touch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“Order Taker”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Model.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0% (Baseline)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Risk: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High churn, price wars, and zero brand equity. |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Evidence Directly Correlates with Customer Lifetime Value (CLV).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price premium commanded by Level A assets is not arbitrary; it is a derivative of superior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Customer Lifetime Value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mechanics. Veterinary endorsement—secured only through robust clinical data—transforms a product from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“discretionary treat”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to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“prescribed protocol,”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reducing churn by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40–60%</w:t>
      </w:r>
      <w:r>
        <w:rPr>
          <w:rFonts w:ascii="Georgia" w:hAnsi="Georgia"/>
          <w:color w:val="333333"/>
          <w:sz w:val="22"/>
        </w:rPr>
        <w:t xml:space="preserve">. In chronic indications like Mastitis in dairy or Osteoarthritis in dogs, efficacy dictates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“stickiness”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of the revenue.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Level 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generic faces a 3-month churn cliff when the user sees no result;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Level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therapeutic sustains multi-year subscriptions because it delivers biologically measurable modifications. Thus, the cost of generating evidence ($100k–$150k per trial) is not an expense but a high-yield investment that amortizes Customer Acquisition Costs (CAC) over a significantly longer lifecycle.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R&amp;D Intensity Correlates Directly with EBITDA Margin Expansion.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We posit the existence of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“Pharma-Nutra Premium,”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where R&amp;D intensity acts as a leading indicator for future profitability. Financial data (2024/2025) confirms that companies investing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&gt;5% of revenue in R&amp;D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(e.g., Zoetis, Dechra) and publishing Clinical Data consistently command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EBITDA margins &gt;20%</w:t>
      </w:r>
      <w:r>
        <w:rPr>
          <w:rFonts w:ascii="Georgia" w:hAnsi="Georgia"/>
          <w:color w:val="333333"/>
          <w:sz w:val="22"/>
        </w:rPr>
        <w:t xml:space="preserve">, whereas traditional feed players investing &lt;1% languish in single digits (see Figure 6). This relationship holds true even in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“Emotional”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pet sector, where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Brand Power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can occasionally substitute for R&amp;D (e.g., Swedencare), but sustainable alpha is overwhelmingly generated by those creating—and proving—biological value.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6: R&amp;D intensity correlates directly with EBITDA margin expansion/premium.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164635"/>
            <wp:effectExtent b="0" l="0" r="0" t="0"/>
            <wp:docPr descr="R&amp;D intensity correlates directly with EBITDA margin expansion/premium." title="" id="27" name="Picture"/>
            <a:graphic>
              <a:graphicData uri="http://schemas.openxmlformats.org/drawingml/2006/picture">
                <pic:pic>
                  <pic:nvPicPr>
                    <pic:cNvPr descr="figures/Figure_II_0_1_Innovation_Matrix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4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Annual Reports 2024/2025; Internal Analysis (R&amp;D Expense / Total Revenue)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7: Structural bifurcation splits the market into Emotional (Pet) and ROI (Livestock) economies.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Structural bifurcation splits the market into Emotional (Pet) and ROI (Livestock) economies." title="" id="30" name="Picture"/>
            <a:graphic>
              <a:graphicData uri="http://schemas.openxmlformats.org/drawingml/2006/picture">
                <pic:pic>
                  <pic:nvPicPr>
                    <pic:cNvPr descr="figures/Figure_II_0_2_Market_Bifurcation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Analysis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I.3. Functional Segmentation Pivots to Outcomes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Companion Animal Segments Shift from Care to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“Cure”</w:t>
      </w:r>
      <w:r>
        <w:rPr>
          <w:rFonts w:ascii="Georgia" w:hAnsi="Georgia"/>
          <w:b/>
          <w:bCs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pet sector is shedding its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“treats”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legacy and adopting a medicalized posture.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Mobility ($2.6B)</w:t>
      </w:r>
      <w:r>
        <w:rPr>
          <w:rFonts w:ascii="Georgia" w:hAnsi="Georgia"/>
          <w:color w:val="333333"/>
          <w:sz w:val="22"/>
        </w:rPr>
        <w:t xml:space="preserve">, the dominant category, is pivoting from volume-based Glucosamine to low-dose, immune-modulating actives like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UC-II Collagen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Omega-3s</w:t>
      </w:r>
      <w:r>
        <w:rPr>
          <w:rFonts w:ascii="Georgia" w:hAnsi="Georgia"/>
          <w:color w:val="333333"/>
          <w:sz w:val="22"/>
        </w:rPr>
        <w:t xml:space="preserve">, driven by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“Usage Paradox”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where lower doses yield higher compliance (see Figure 8). Simultaneously,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Cognitive Support ($1.35B)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Behavioral Wellness ($1.4B)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sectors are monetizing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“Silver Economy”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“Anxiety Economy”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respectively. Innovations like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MCTs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for brain health (Figure 11) 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L-Theanine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for non-sedative anxiolysis (Figure 12) are proving that owners will pay a premium for products that manage the specific pathologies of aging and urbanization.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8: Efficacy levels in Mobility define market positioning and pricing power.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43404"/>
            <wp:effectExtent b="0" l="0" r="0" t="0"/>
            <wp:docPr descr="Efficacy levels in Mobility define market positioning and pricing power." title="" id="34" name="Picture"/>
            <a:graphic>
              <a:graphicData uri="http://schemas.openxmlformats.org/drawingml/2006/picture">
                <pic:pic>
                  <pic:nvPicPr>
                    <pic:cNvPr descr="figures/Figure_II_1_Matrix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Efficacy Analysis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11: Cognitive support monetizes the Silver Economy via neuro-preservation.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43404"/>
            <wp:effectExtent b="0" l="0" r="0" t="0"/>
            <wp:docPr descr="Cognitive support monetizes the Silver Economy via neuro-preservation." title="" id="37" name="Picture"/>
            <a:graphic>
              <a:graphicData uri="http://schemas.openxmlformats.org/drawingml/2006/picture">
                <pic:pic>
                  <pic:nvPicPr>
                    <pic:cNvPr descr="figures/Figure_II_4_Matrix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Efficacy Analysis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12: Non-sedative anxiolysis replaces pharmacological interventions in behavior management.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43404"/>
            <wp:effectExtent b="0" l="0" r="0" t="0"/>
            <wp:docPr descr="Non-sedative anxiolysis replaces pharmacological interventions in behavior management." title="" id="40" name="Picture"/>
            <a:graphic>
              <a:graphicData uri="http://schemas.openxmlformats.org/drawingml/2006/picture">
                <pic:pic>
                  <pic:nvPicPr>
                    <pic:cNvPr descr="figures/Figure_II_5_Matrix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Efficacy Analysis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Livestock Segments Prioritize Biological Infrastructure.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In the livestock arena, nutraceuticals are replacing antibiotics as the new sanitary infrastructure.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Gut Health ($5.6B)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has evolved into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“Eubiosis”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strategy, leveraging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Probiotics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Postbiotics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to create pathogen-resistant microbiomes (Figure 9).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Immunity ($2.67B)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Performance Additives ($7.1B)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focus on resilience and efficiency, using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Yeast Cultures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Enzymes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to optimize Feed Conversion Ratios (FCR) in an era of rising input costs (Figures 10 &amp; 13). Here, the value proposition is purely financial: every dollar spent on additives must return &gt;$3 in yield protection.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9: Gut Health strategy shifts from generic digestion to precision microbiome modulation.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43404"/>
            <wp:effectExtent b="0" l="0" r="0" t="0"/>
            <wp:docPr descr="Gut Health strategy shifts from generic digestion to precision microbiome modulation." title="" id="43" name="Picture"/>
            <a:graphic>
              <a:graphicData uri="http://schemas.openxmlformats.org/drawingml/2006/picture">
                <pic:pic>
                  <pic:nvPicPr>
                    <pic:cNvPr descr="figures/Figure_II_2_Matrix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Efficacy Analysis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10: Immunity solutions build biological resilience for the post-antibiotic era.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43404"/>
            <wp:effectExtent b="0" l="0" r="0" t="0"/>
            <wp:docPr descr="Immunity solutions build biological resilience for the post-antibiotic era." title="" id="46" name="Picture"/>
            <a:graphic>
              <a:graphicData uri="http://schemas.openxmlformats.org/drawingml/2006/picture">
                <pic:pic>
                  <pic:nvPicPr>
                    <pic:cNvPr descr="figures/Figure_II_3_Matrix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Efficacy Analysis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13: Enzymes and yeast cultures drive Feed Conversion Ratios (FCR) in livestock.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43404"/>
            <wp:effectExtent b="0" l="0" r="0" t="0"/>
            <wp:docPr descr="Enzymes and yeast cultures drive Feed Conversion Ratios (FCR) in livestock." title="" id="49" name="Picture"/>
            <a:graphic>
              <a:graphicData uri="http://schemas.openxmlformats.org/drawingml/2006/picture">
                <pic:pic>
                  <pic:nvPicPr>
                    <pic:cNvPr descr="figures/Figure_II_6_Matrix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Efficacy Analysis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Emerging Technologies Define the Next Decade of Value.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future value of the sector lies in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Nutrigenomics ($3.5B)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Sustainability ($3.35B)</w:t>
      </w:r>
      <w:r>
        <w:rPr>
          <w:rFonts w:ascii="Georgia" w:hAnsi="Georgia"/>
          <w:color w:val="333333"/>
          <w:sz w:val="22"/>
        </w:rPr>
        <w:t xml:space="preserve">. Nutrigenomics is creating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“Moat of Data”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by validating ingredients through gene-expression profiles, effectively effectively turning natural extracts into verified technologies (Figure 16). Meanwhile, the Sustainability vector is monetizing environmental compliance, with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Methane Mitigation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(Figure 18) becoming a non-negotiable procurement specification for global dairy chains. Coupled with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Advanced Delivery Systems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(Figure 17) that guarantee bioavailability, these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“Deep Tech”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segments serve as the bridge between raw ingredients and reliable, claimable performance.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16: Gene-expression data constructs a defensible moat of validation around ingredients.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43404"/>
            <wp:effectExtent b="0" l="0" r="0" t="0"/>
            <wp:docPr descr="Gene-expression data constructs a defensible moat of validation around ingredients." title="" id="52" name="Picture"/>
            <a:graphic>
              <a:graphicData uri="http://schemas.openxmlformats.org/drawingml/2006/picture">
                <pic:pic>
                  <pic:nvPicPr>
                    <pic:cNvPr descr="figures/Figure_II_9_Matrix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Efficacy Analysis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17: Advanced delivery formats ensure bioavailability and maximize compliance.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43404"/>
            <wp:effectExtent b="0" l="0" r="0" t="0"/>
            <wp:docPr descr="Advanced delivery formats ensure bioavailability and maximize compliance." title="" id="55" name="Picture"/>
            <a:graphic>
              <a:graphicData uri="http://schemas.openxmlformats.org/drawingml/2006/picture">
                <pic:pic>
                  <pic:nvPicPr>
                    <pic:cNvPr descr="figures/Figure_II_10_Matrix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Technology Audit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18: Sustainability metrics like methane reduction are becoming non-negotiable procurement specs.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43404"/>
            <wp:effectExtent b="0" l="0" r="0" t="0"/>
            <wp:docPr descr="Sustainability metrics like methane reduction are becoming non-negotiable procurement specs." title="" id="58" name="Picture"/>
            <a:graphic>
              <a:graphicData uri="http://schemas.openxmlformats.org/drawingml/2006/picture">
                <pic:pic>
                  <pic:nvPicPr>
                    <pic:cNvPr descr="figures/Figure_II_11_Matrix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Efficacy Analysis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Conclusion: Precision Interventions Replace General Nutrition.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transition is complete: the market has moved from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“General Nutrition”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“Precision Intervention.”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Winning categories are no longer defined by broad claims but by their ability to resolve specific biological problems—whether it be canine osteoarthritis or bovine methane emissions—with measurable, economically viable outcomes.</w:t>
      </w:r>
    </w:p>
    <w:p>
      <w:pPr>
        <w:keepNext/>
        <w:spacing w:after="120"/>
        <w:jc w:val="both"/>
      </w:pPr>
      <w:r>
        <w:rPr>
          <w:rFonts w:ascii="Georgia" w:hAnsi="Georgia"/>
          <w:color w:val="333333"/>
          <w:sz w:val="22"/>
        </w:rPr>
        <w:pict>
          <v:rect style="width:0;height:1.5pt" o:hralign="center" o:hrstd="t" o:hr="t"/>
        </w:pict>
      </w:r>
    </w:p>
    <w:p>
      <w:pPr>
        <w:pStyle w:val="Heading1"/>
        <w:pageBreakBefore/>
        <w:spacing w:before="480" w:after="240"/>
      </w:pPr>
      <w:r>
        <w:rPr>
          <w:rFonts w:ascii="Arial" w:hAnsi="Arial"/>
          <w:b/>
          <w:color w:val="D04A02"/>
          <w:sz w:val="48"/>
        </w:rPr>
        <w:t xml:space="preserve">PART II: Strategic Bifurcation Drives Two-Speed Economics</w:t>
      </w:r>
    </w:p>
    <w:p>
      <w:pPr>
        <w:pStyle w:val="FirstParagraph"/>
        <w:spacing w:after="160"/>
        <w:jc w:val="both"/>
      </w:pPr>
      <w:r>
        <w:rPr>
          <w:rFonts w:ascii="Georgia" w:hAnsi="Georgia"/>
          <w:color w:val="333333"/>
          <w:sz w:val="22"/>
        </w:rPr>
        <w:t xml:space="preserve">The global market has irreversibly split into two gears. Part II analyzes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“Two-Speed”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economic reality where Global Demographics, Livestock Dynamics, and Buyer Psychology operate on divergent timelines. Investors must understand that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“Growth”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means something entirely different in a Tokyo cat café versus a Texan feedlot.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II.1. Demographic Divergence Decouples Growth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The Market Has Irreversibly Bifurcated into Value and Volume.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global animal health market is undergoing a structural schism, creating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“Two-Speed”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dynamic that invalidates aggregate market analysis. Investors must now model two distinct asset classes: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Volume-Driven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livestock sector (correlated with GDP and population) and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Value-Driven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pet economy (correlated with disposable income and household formation). Top-down analysis confirms that while the broader market is robust (~$123.8B), the alpha generation lies in this divergence. In developed markets,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Pet Nutraceuticals ($6B)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are driven by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“Premiumization”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 are forecast to double by 2030 (Figure 19), whereas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Livestock Additives ($7B)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are driven by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“Great Divergence”</w:t>
      </w:r>
      <w:r>
        <w:rPr>
          <w:rFonts w:ascii="Georgia" w:hAnsi="Georgia"/>
          <w:color w:val="333333"/>
          <w:sz w:val="22"/>
        </w:rPr>
        <w:t xml:space="preserve">—a structural contraction in Western herds offset by relentless industrialization in the East.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19: Developed markets prioritize</w:t>
      </w:r>
      <w:r>
        <w:rPr>
          <w:rFonts w:ascii="Arial" w:hAnsi="Arial"/>
          <w:b/>
          <w:bCs/>
          <w:i/>
          <w:color w:val="8B9BA5"/>
          <w:sz w:val="18"/>
        </w:rPr>
        <w:t xml:space="preserve"> </w:t>
      </w:r>
      <w:r>
        <w:rPr>
          <w:rFonts w:ascii="Arial" w:hAnsi="Arial"/>
          <w:b/>
          <w:bCs/>
          <w:i/>
          <w:color w:val="8B9BA5"/>
          <w:sz w:val="18"/>
        </w:rPr>
        <w:t xml:space="preserve">‘Value over Volume’</w:t>
      </w:r>
      <w:r>
        <w:rPr>
          <w:rFonts w:ascii="Arial" w:hAnsi="Arial"/>
          <w:b/>
          <w:bCs/>
          <w:i/>
          <w:color w:val="8B9BA5"/>
          <w:sz w:val="18"/>
        </w:rPr>
        <w:t xml:space="preserve"> </w:t>
      </w:r>
      <w:r>
        <w:rPr>
          <w:rFonts w:ascii="Arial" w:hAnsi="Arial"/>
          <w:b/>
          <w:bCs/>
          <w:i/>
          <w:color w:val="8B9BA5"/>
          <w:sz w:val="18"/>
        </w:rPr>
        <w:t xml:space="preserve">in pet ownership trends.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Developed markets prioritize ‘Value over Volume’ in pet ownership trends." title="" id="63" name="Picture"/>
            <a:graphic>
              <a:graphicData uri="http://schemas.openxmlformats.org/drawingml/2006/picture">
                <pic:pic>
                  <pic:nvPicPr>
                    <pic:cNvPr descr="figures/Figure1_Pet_Ownership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FEDIAF (2024), APPA (2024)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Regional Nuances define the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“Cat Continent”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vs. the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“Volume Engine”</w:t>
      </w:r>
      <w:r>
        <w:rPr>
          <w:rFonts w:ascii="Georgia" w:hAnsi="Georgia"/>
          <w:b/>
          <w:bCs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Europe differs fundamentally from the US; it is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“Cat Continent”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(127M cats vs 104M dogs). The feline segment, growing 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+11%</w:t>
      </w:r>
      <w:r>
        <w:rPr>
          <w:rFonts w:ascii="Georgia" w:hAnsi="Georgia"/>
          <w:color w:val="333333"/>
          <w:sz w:val="22"/>
        </w:rPr>
        <w:t xml:space="preserve">, outpaces the dog segment due to urbanization and density constraints (Figures 20 &amp; 21). This dictates a strategic pivot from canine-centric chews to feline-friendly liquids and transdermal gels to capture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$1.9B EU opportunity</w:t>
      </w:r>
      <w:r>
        <w:rPr>
          <w:rFonts w:ascii="Georgia" w:hAnsi="Georgia"/>
          <w:color w:val="333333"/>
          <w:sz w:val="22"/>
        </w:rPr>
        <w:t xml:space="preserve">, particularly in pharmacy-led markets like France and Germany. Conversely, the US remains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“Valuation Anchor,”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where the humanization thesis has fully matured, transforming the market from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“Ownership”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“Parenting”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across 94 million households.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20: European demographics show a structural dominance of the feline segment.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European demographics show a structural dominance of the feline segment." title="" id="66" name="Picture"/>
            <a:graphic>
              <a:graphicData uri="http://schemas.openxmlformats.org/drawingml/2006/picture">
                <pic:pic>
                  <pic:nvPicPr>
                    <pic:cNvPr descr="figures/Figure2_EU_Pet_Pop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FEDIAF Facts &amp; Figures 2023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21: Feline segment growth outpaces canine due to urbanization constraints.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5334000"/>
            <wp:effectExtent b="0" l="0" r="0" t="0"/>
            <wp:docPr descr="Feline segment growth outpaces canine due to urbanization constraints." title="" id="69" name="Picture"/>
            <a:graphic>
              <a:graphicData uri="http://schemas.openxmlformats.org/drawingml/2006/picture">
                <pic:pic>
                  <pic:nvPicPr>
                    <pic:cNvPr descr="figures/Figure3_EU_Growth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FEDIAF (2024)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Asia-Pacific Emerges as the Volume Engine of the Next Decade.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While the West drives value, APAC drives volume. Urbanization and an emerging middle class are fueling 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12–15% CAGR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in India and China (Figure 22). Notably, China has flipped to a cat-majority market (71.5M cats) driven by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“996”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work culture, which precludes dog ownership. This creates a highly specialized demand for stress and urinary health solutions in dense urban environments, signaling that future volume growth will be Asian, feline, and functional.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22: APAC emerging as the primary volume engine for the next decade.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APAC emerging as the primary volume engine for the next decade." title="" id="72" name="Picture"/>
            <a:graphic>
              <a:graphicData uri="http://schemas.openxmlformats.org/drawingml/2006/picture">
                <pic:pic>
                  <pic:nvPicPr>
                    <pic:cNvPr descr="figures/Figure4_Regional_Market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Grand View Research (2024)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II.2. Livestock Dynamics Prioritize Efficiency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The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“Great Divergence”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Favors Poultry and Aquaculture.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livestock sector is characterized by a stark geographical and species split.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Poultry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has emerged as the global winner, dominating meat production (365M tonnes) and absorbing the majority of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$6.8B feed additive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spend (Figures 23 &amp; 24). It is a highly industrial, resilient sector where disease outbreaks (HPAI) engage a permanent demand for immune-modulating additives (Figure 25). Similarly,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Aquaculture ($250M)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represents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“Blue Transformation”</w:t>
      </w:r>
      <w:r>
        <w:rPr>
          <w:rFonts w:ascii="Georgia" w:hAnsi="Georgia"/>
          <w:color w:val="333333"/>
          <w:sz w:val="22"/>
        </w:rPr>
        <w:t xml:space="preserve">—a permanent shift from wild capture to high-density farming that mandates probiotics as a biological life-support system (Figure 28).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23: Global protein production shifts favor poultry and aquaculture over ruminants.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Global protein production shifts favor poultry and aquaculture over ruminants." title="" id="76" name="Picture"/>
            <a:graphic>
              <a:graphicData uri="http://schemas.openxmlformats.org/drawingml/2006/picture">
                <pic:pic>
                  <pic:nvPicPr>
                    <pic:cNvPr descr="figures/Figure9_Livestock_Trends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FAO (2024)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24: Probiotics volume share reflects the dominance of poultry and swine sectors.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2667000"/>
            <wp:effectExtent b="0" l="0" r="0" t="0"/>
            <wp:docPr descr="Probiotics volume share reflects the dominance of poultry and swine sectors." title="" id="79" name="Picture"/>
            <a:graphic>
              <a:graphicData uri="http://schemas.openxmlformats.org/drawingml/2006/picture">
                <pic:pic>
                  <pic:nvPicPr>
                    <pic:cNvPr descr="figures/Figure5_Probiotics_Share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MarketsandMarkets Animal Nutrition Report 2023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25: Disease outbreaks act as catalysts for immune-modulating additive demand.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Disease outbreaks act as catalysts for immune-modulating additive demand." title="" id="82" name="Picture"/>
            <a:graphic>
              <a:graphicData uri="http://schemas.openxmlformats.org/drawingml/2006/picture">
                <pic:pic>
                  <pic:nvPicPr>
                    <pic:cNvPr descr="figures/Figure6_Poultry_HPAI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WOAH WAHIS Situation Reports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Western Swine and Cattle Sectors Face Structural Contraction.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Conversely, the Western swine and cattle sectors are facing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“De-Ruminization”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 contraction driven by environmental policy (Figures 26 &amp; 27). The Nitrogen Crisis in Europe is forcing a reduction in swine herds, prioritizing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“Quality over Quantity”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strategies where enzymes and gut health tools are essential to survive thin margins. In the cattle sector, historic liquidation shifts the thesis from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“Masking”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efficiency to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“Maximizing”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per-head value; shrinking herds mean that every remaining animal becomes a high-value asset justifying expensive inputs.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26: Regulatory pressures drive structural contraction in Western swine herds.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2667000"/>
            <wp:effectExtent b="0" l="0" r="0" t="0"/>
            <wp:docPr descr="Regulatory pressures drive structural contraction in Western swine herds." title="" id="85" name="Picture"/>
            <a:graphic>
              <a:graphicData uri="http://schemas.openxmlformats.org/drawingml/2006/picture">
                <pic:pic>
                  <pic:nvPicPr>
                    <pic:cNvPr descr="figures/Figure7_Swine_Decline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Eurostat Livestock Statistics 2024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27: Western de-ruminization shifts value from herd size to efficiency-per-head.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2667000"/>
            <wp:effectExtent b="0" l="0" r="0" t="0"/>
            <wp:docPr descr="Western de-ruminization shifts value from herd size to efficiency-per-head." title="" id="88" name="Picture"/>
            <a:graphic>
              <a:graphicData uri="http://schemas.openxmlformats.org/drawingml/2006/picture">
                <pic:pic>
                  <pic:nvPicPr>
                    <pic:cNvPr descr="figures/Figure8_Cattle_Inventory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Eurostat (2024), USDA (2024)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28: The</w:t>
      </w:r>
      <w:r>
        <w:rPr>
          <w:rFonts w:ascii="Arial" w:hAnsi="Arial"/>
          <w:b/>
          <w:bCs/>
          <w:i/>
          <w:color w:val="8B9BA5"/>
          <w:sz w:val="18"/>
        </w:rPr>
        <w:t xml:space="preserve"> </w:t>
      </w:r>
      <w:r>
        <w:rPr>
          <w:rFonts w:ascii="Arial" w:hAnsi="Arial"/>
          <w:b/>
          <w:bCs/>
          <w:i/>
          <w:color w:val="8B9BA5"/>
          <w:sz w:val="18"/>
        </w:rPr>
        <w:t xml:space="preserve">‘Blue Transformation’</w:t>
      </w:r>
      <w:r>
        <w:rPr>
          <w:rFonts w:ascii="Arial" w:hAnsi="Arial"/>
          <w:b/>
          <w:bCs/>
          <w:i/>
          <w:color w:val="8B9BA5"/>
          <w:sz w:val="18"/>
        </w:rPr>
        <w:t xml:space="preserve"> </w:t>
      </w:r>
      <w:r>
        <w:rPr>
          <w:rFonts w:ascii="Arial" w:hAnsi="Arial"/>
          <w:b/>
          <w:bCs/>
          <w:i/>
          <w:color w:val="8B9BA5"/>
          <w:sz w:val="18"/>
        </w:rPr>
        <w:t xml:space="preserve">drives industrialization and functional additive needs in aqua.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The ‘Blue Transformation’ drives industrialization and functional additive needs in aqua." title="" id="91" name="Picture"/>
            <a:graphic>
              <a:graphicData uri="http://schemas.openxmlformats.org/drawingml/2006/picture">
                <pic:pic>
                  <pic:nvPicPr>
                    <pic:cNvPr descr="figures/Figure11_Aquaculture_Production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FAO SOFIA 2024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Methane Mitigation Becomes a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“License to Operate”</w:t>
      </w:r>
      <w:r>
        <w:rPr>
          <w:rFonts w:ascii="Georgia" w:hAnsi="Georgia"/>
          <w:b/>
          <w:bCs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most profound shift in livestock dynamics is the pivot to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Methane Mitigation</w:t>
      </w:r>
      <w:r>
        <w:rPr>
          <w:rFonts w:ascii="Georgia" w:hAnsi="Georgia"/>
          <w:color w:val="333333"/>
          <w:sz w:val="22"/>
        </w:rPr>
        <w:t xml:space="preserve">. For the dairy and beef sectors, reducing emissions is no longer an optional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“green”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claim but a procurement mandate from global giants like Danone and Nestlé. This creates a new, non-discretionary market layer for technologies like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3-NOP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Bromoform</w:t>
      </w:r>
      <w:r>
        <w:rPr>
          <w:rFonts w:ascii="Georgia" w:hAnsi="Georgia"/>
          <w:color w:val="333333"/>
          <w:sz w:val="22"/>
        </w:rPr>
        <w:t xml:space="preserve">, which transform sustainability from a PR metric into a fundamental condition for market access.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II.3. Psychology of Spend Dictates Margins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Buyer Psychology is Driven by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“Fear of Loss”</w:t>
      </w:r>
      <w:r>
        <w:rPr>
          <w:rFonts w:ascii="Georgia" w:hAnsi="Georgia"/>
          <w:b/>
          <w:bCs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Understanding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why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of purchasing reveals that margin potential is psychological, not just functional. Analysis shows that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“Fear of Loss”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(50%)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outweighs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“Aspiration”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(30%) in pet owner motivation (Figure 29). Owners pay premiums for preventive health to avoid the regret of premature aging, making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Senior/Geriatric ($1.35B)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category the most price-inelastic. In livestock, the equivalent driver is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“Risk Mitigation”</w:t>
      </w:r>
      <w:r>
        <w:rPr>
          <w:rFonts w:ascii="Georgia" w:hAnsi="Georgia"/>
          <w:color w:val="333333"/>
          <w:sz w:val="22"/>
        </w:rPr>
        <w:t xml:space="preserve">; while producers operate on a strict ROI, they exhibit inelasticity for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“Biological Insurance”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(Toxin Binders) that prevents catastrophic herd loss.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29: Purchasing psychology is driven more by the fear of loss than aspirational health.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Purchasing psychology is driven more by the fear of loss than aspirational health." title="" id="95" name="Picture"/>
            <a:graphic>
              <a:graphicData uri="http://schemas.openxmlformats.org/drawingml/2006/picture">
                <pic:pic>
                  <pic:nvPicPr>
                    <pic:cNvPr descr="figures/Figure14_Psychology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Nicotra et al. (2025)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Palatability and Format Are Proxies for Efficacy.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best active ingredient is worthless if the animal refuses to eat it.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Palatability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Format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dictate compliance, which in turn drives the perceived efficacy (Figure 30). In the companion market, the shift from pills to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Soft Chews ($593M)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 functional treats proves that the delivery system is as valuable as the payload. Brands that master palatability—making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“medicine”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“treat”</w:t>
      </w:r>
      <w:r>
        <w:rPr>
          <w:rFonts w:ascii="Georgia" w:hAnsi="Georgia"/>
          <w:color w:val="333333"/>
          <w:sz w:val="22"/>
        </w:rPr>
        <w:t xml:space="preserve">—secure higher compliance rates and, by extension, higher repurchase rates.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30: Palatability and format dictate compliance, which is a key efficacy driver.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1777999"/>
            <wp:effectExtent b="0" l="0" r="0" t="0"/>
            <wp:docPr descr="Palatability and format dictate compliance, which is a key efficacy driver." title="" id="98" name="Picture"/>
            <a:graphic>
              <a:graphicData uri="http://schemas.openxmlformats.org/drawingml/2006/picture">
                <pic:pic>
                  <pic:nvPicPr>
                    <pic:cNvPr descr="figures/Figure11_Formats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7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Format Analysis based on NBJ Data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Premiumization and Lifecycle Extensions Expand the Wallet.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“Preventive Wallet”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has expanded significantly, with nutraceuticals surpassing toys and accessories for high-spending owners (Figures 31 &amp; 32). This is further amplified by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“Premiumization Ladder”</w:t>
      </w:r>
      <w:r>
        <w:rPr>
          <w:rFonts w:ascii="Georgia" w:hAnsi="Georgia"/>
          <w:color w:val="333333"/>
          <w:sz w:val="22"/>
        </w:rPr>
        <w:t xml:space="preserve">—evident in mobility’s shift from generic Glucosamine to IP-backed Collagen (Figure 33)—and the emergence of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“Pre-Senior”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category (Figure 34). By initiating wellness protocols at age 5 rather than age 8, brands actively double the Customer Lifetime Value (CLV), proving that the most effective way to grow the market is to lengthen the usage window.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31: High-spending households drive the majority of revenue in the pet wellness category.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High-spending households drive the majority of revenue in the pet wellness category." title="" id="101" name="Picture"/>
            <a:graphic>
              <a:graphicData uri="http://schemas.openxmlformats.org/drawingml/2006/picture">
                <pic:pic>
                  <pic:nvPicPr>
                    <pic:cNvPr descr="figures/Figure13_Segmentation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Customer Segmentation Logic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32: Nutraceuticals have captured a dominant share of the preventive care wallet.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Nutraceuticals have captured a dominant share of the preventive care wallet." title="" id="104" name="Picture"/>
            <a:graphic>
              <a:graphicData uri="http://schemas.openxmlformats.org/drawingml/2006/picture">
                <pic:pic>
                  <pic:nvPicPr>
                    <pic:cNvPr descr="figures/Figure12_Wallet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APPA National Pet Owners Survey 2024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33: Category premiumization evolves from generic ingredients to IP-backed solutions.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Category premiumization evolves from generic ingredients to IP-backed solutions." title="" id="107" name="Picture"/>
            <a:graphic>
              <a:graphicData uri="http://schemas.openxmlformats.org/drawingml/2006/picture">
                <pic:pic>
                  <pic:nvPicPr>
                    <pic:cNvPr descr="figures/Figure15_Mobility_Evo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Nutrition Business Journal (2024)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34: Determining validity of</w:t>
      </w:r>
      <w:r>
        <w:rPr>
          <w:rFonts w:ascii="Arial" w:hAnsi="Arial"/>
          <w:b/>
          <w:bCs/>
          <w:i/>
          <w:color w:val="8B9BA5"/>
          <w:sz w:val="18"/>
        </w:rPr>
        <w:t xml:space="preserve"> </w:t>
      </w:r>
      <w:r>
        <w:rPr>
          <w:rFonts w:ascii="Arial" w:hAnsi="Arial"/>
          <w:b/>
          <w:bCs/>
          <w:i/>
          <w:color w:val="8B9BA5"/>
          <w:sz w:val="18"/>
        </w:rPr>
        <w:t xml:space="preserve">‘Pre-Senior’</w:t>
      </w:r>
      <w:r>
        <w:rPr>
          <w:rFonts w:ascii="Arial" w:hAnsi="Arial"/>
          <w:b/>
          <w:bCs/>
          <w:i/>
          <w:color w:val="8B9BA5"/>
          <w:sz w:val="18"/>
        </w:rPr>
        <w:t xml:space="preserve"> </w:t>
      </w:r>
      <w:r>
        <w:rPr>
          <w:rFonts w:ascii="Arial" w:hAnsi="Arial"/>
          <w:b/>
          <w:bCs/>
          <w:i/>
          <w:color w:val="8B9BA5"/>
          <w:sz w:val="18"/>
        </w:rPr>
        <w:t xml:space="preserve">segment expands Customer Lifetime Value.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Determining validity of ‘Pre-Senior’ segment expands Customer Lifetime Value." title="" id="110" name="Picture"/>
            <a:graphic>
              <a:graphicData uri="http://schemas.openxmlformats.org/drawingml/2006/picture">
                <pic:pic>
                  <pic:nvPicPr>
                    <pic:cNvPr descr="figures/Figure16_Senior_Growth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Lifecycle Analysis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Conclusion: Motivation Defines the Margin.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psychology of spend confirms that margins are manufactured in the mind of the buyer. Whether driven by the fear of losing a companion or the risk of losing a herd, the highest value accrues to products that offer emotional or financial security.</w:t>
      </w:r>
    </w:p>
    <w:p>
      <w:pPr>
        <w:keepNext/>
        <w:spacing w:after="120"/>
        <w:jc w:val="both"/>
      </w:pPr>
      <w:r>
        <w:rPr>
          <w:rFonts w:ascii="Georgia" w:hAnsi="Georgia"/>
          <w:color w:val="333333"/>
          <w:sz w:val="22"/>
        </w:rPr>
        <w:pict>
          <v:rect style="width:0;height:1.5pt" o:hralign="center" o:hrstd="t" o:hr="t"/>
        </w:pict>
      </w:r>
    </w:p>
    <w:p>
      <w:pPr>
        <w:pStyle w:val="Heading1"/>
        <w:pageBreakBefore/>
        <w:spacing w:before="480" w:after="240"/>
      </w:pPr>
      <w:r>
        <w:rPr>
          <w:rFonts w:ascii="Arial" w:hAnsi="Arial"/>
          <w:b/>
          <w:color w:val="D04A02"/>
          <w:sz w:val="48"/>
        </w:rPr>
        <w:t xml:space="preserve">PART III: The Value Chain Favours Vertical Integration</w:t>
      </w:r>
    </w:p>
    <w:p>
      <w:pPr>
        <w:pStyle w:val="FirstParagraph"/>
        <w:spacing w:after="160"/>
        <w:jc w:val="both"/>
      </w:pPr>
      <w:r>
        <w:rPr>
          <w:rFonts w:ascii="Georgia" w:hAnsi="Georgia"/>
          <w:color w:val="333333"/>
          <w:sz w:val="22"/>
        </w:rPr>
        <w:t xml:space="preserve">Value is not distributed evenly; it aggregates at the extremes. Part III maps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“Barbell”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structure of the industry, demonstrating how value flows away from the middle and towards Upstream IP Holders and Downstream Vertical Titans.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III.1. The Value Chain Privileges IP Holders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Margin Capture Depends on Position and IP Ownership.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value chain is not a monolith; it is split between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“Speed”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of Pet/Consumer and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“Scale”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of Livestock/Industrial models. Our analysis of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“Value Waterfall”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(Figure 35) reveals that pricing power erodes as products move downstream to generic retailers. The highest margins (</w:t>
      </w:r>
      <w:r>
        <w:rPr>
          <w:rFonts w:ascii="Georgia" w:hAnsi="Georgia"/>
          <w:b/>
          <w:bCs/>
          <w:color w:val="333333"/>
          <w:sz w:val="22"/>
        </w:rPr>
        <w:t xml:space="preserve">EBITDA 25–30%</w:t>
      </w:r>
      <w:r>
        <w:rPr>
          <w:rFonts w:ascii="Georgia" w:hAnsi="Georgia"/>
          <w:color w:val="333333"/>
          <w:sz w:val="22"/>
        </w:rPr>
        <w:t xml:space="preserve">) accrue to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Ingredient Suppliers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who hold the IP (e.g., DSM-Firmenich, Kemin). These entities are insulated from consumer fickleness and command pricing power through patent protection. Conversely, generic commodity suppliers are trapped in low-margin volatility (</w:t>
      </w:r>
      <w:r>
        <w:rPr>
          <w:rFonts w:ascii="Georgia" w:hAnsi="Georgia"/>
          <w:b/>
          <w:bCs/>
          <w:color w:val="333333"/>
          <w:sz w:val="22"/>
        </w:rPr>
        <w:t xml:space="preserve">5–12%</w:t>
      </w:r>
      <w:r>
        <w:rPr>
          <w:rFonts w:ascii="Georgia" w:hAnsi="Georgia"/>
          <w:color w:val="333333"/>
          <w:sz w:val="22"/>
        </w:rPr>
        <w:t xml:space="preserve">), confirming that IP is the primary hedge against commoditization.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35: Pricing power erodes as products move from IP owners to generic retailers.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2667000"/>
            <wp:effectExtent b="0" l="0" r="0" t="0"/>
            <wp:docPr descr="Pricing power erodes as products move from IP owners to generic retailers." title="" id="115" name="Picture"/>
            <a:graphic>
              <a:graphicData uri="http://schemas.openxmlformats.org/drawingml/2006/picture">
                <pic:pic>
                  <pic:nvPicPr>
                    <pic:cNvPr descr="figures/Figure19_Value_Waterfall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Pricing Model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Figure 36: Margin capture shifts upstream to IP holders and downstream to specialized CDMOs.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Margin capture shifts upstream to IP holders and downstream to specialized CDMOs.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Source: Internal Value Chain Analysis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Digital Platforms and CDMOs Reshape Distribution Economics.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middle of the chain is evolving rapidly.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CDMOs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have emerged as hidden engines of value; with &gt;60% of pet brands relying on third-party manufacturing, those commanding complex formats (like Soft Chews) enjoy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15–20% EBITDA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 high stickiness (Figure 36). On the retail front, while DTC offers theoretical margin capture, high Customer Acquisition Costs (CAC) often compress realized margins to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20–25%</w:t>
      </w:r>
      <w:r>
        <w:rPr>
          <w:rFonts w:ascii="Georgia" w:hAnsi="Georgia"/>
          <w:color w:val="333333"/>
          <w:sz w:val="22"/>
        </w:rPr>
        <w:t xml:space="preserve">, penalizing pure-play digital brands. The winning model is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Omnichannel Dominance</w:t>
      </w:r>
      <w:r>
        <w:rPr>
          <w:rFonts w:ascii="Georgia" w:hAnsi="Georgia"/>
          <w:color w:val="333333"/>
          <w:sz w:val="22"/>
        </w:rPr>
        <w:t xml:space="preserve">, which balances the reach of digital with the trust of veterinary and retail presence (Figure 37).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37: Channel economics favor omnichannel dominance but penalize pure-play DTC.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Channel economics favor omnichannel dominance but penalize pure-play DTC." title="" id="118" name="Picture"/>
            <a:graphic>
              <a:graphicData uri="http://schemas.openxmlformats.org/drawingml/2006/picture">
                <pic:pic>
                  <pic:nvPicPr>
                    <pic:cNvPr descr="figures/Figure18_Channel_Economics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Channel Economics Model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Incumbents Use Nutraceuticals as a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“Cradle-to-Grave”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Funnel.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For major incumbents like Zoetis and Elanco, nutraceuticals are a strategic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“Customer Acquisition Funnel”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(Figure 38). By capturing the animal early with low-acuity wellness products, they secure the patient for high-value prescriptions later in the lifecycle. This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“Cradle-to-Grave”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monetization strategy denies competitors access to the veterinary channel and maximizes the lifetime value of the patient. Strategic categorization (Figure 39) clearly defines the risk-reward profile: incumbents acquire de-risked assets to feed this funnel, leaving high-risk R&amp;D to smaller innovators.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38: Incumbents utilize nutraceuticals as a low-cost acquisition funnel for future banking.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2667000"/>
            <wp:effectExtent b="0" l="0" r="0" t="0"/>
            <wp:docPr descr="Incumbents utilize nutraceuticals as a low-cost acquisition funnel for future banking." title="" id="121" name="Picture"/>
            <a:graphic>
              <a:graphicData uri="http://schemas.openxmlformats.org/drawingml/2006/picture">
                <pic:pic>
                  <pic:nvPicPr>
                    <pic:cNvPr descr="figures/Figure21_Pharma_Funnel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Zoetis/Elanco Corporate Strategy Analysis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39: Strategic categorization defines the risk-reward profile for market entrants.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200399"/>
            <wp:effectExtent b="0" l="0" r="0" t="0"/>
            <wp:docPr descr="Strategic categorization defines the risk-reward profile for market entrants." title="" id="124" name="Picture"/>
            <a:graphic>
              <a:graphicData uri="http://schemas.openxmlformats.org/drawingml/2006/picture">
                <pic:pic>
                  <pic:nvPicPr>
                    <pic:cNvPr descr="figures/Figure20_Risk_Reward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Strategic Categorization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III.2. Consolidation Favors Vertical Titans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The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“Barbell Structure”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Defines the Competitive Landscape.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industry has moved beyond fragmentation to a defined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“Barbell Structure”</w:t>
      </w:r>
      <w:r>
        <w:rPr>
          <w:rFonts w:ascii="Georgia" w:hAnsi="Georgia"/>
          <w:color w:val="333333"/>
          <w:sz w:val="22"/>
        </w:rPr>
        <w:t xml:space="preserve">: Massive, vertically integrated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Titans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(Zoetis, Mars) control the channels and the customer relationship, while agile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Innovators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(BiomEdit, Bond Pet Foods) control the biological IP.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“middle market”</w:t>
      </w:r>
      <w:r>
        <w:rPr>
          <w:rFonts w:ascii="Georgia" w:hAnsi="Georgia"/>
          <w:color w:val="333333"/>
          <w:sz w:val="22"/>
        </w:rPr>
        <w:t xml:space="preserve">—populated by generic re-packagers without clinical differentiation—faces existential margin compression. Surviving this squeeze requires scale or science; there is no safety in the middle.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M&amp;A Has Replaced Internal R&amp;D as the Primary Growth Engine.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For incumbents, R&amp;D productivity has stalled while the cost to develop new molecules has skyrocketed (&gt;$150M). Consequently, M&amp;A has become the primary engine for innovation. Titans are paying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“Time-to-Market Premiums”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to acquire de-risked, clinically validated assets rather than building from scratch (Figure 40). The blueprint, exemplified by Zoetis, is to manage the entire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“Continuum of Care”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(Diagnostics</w:t>
      </w:r>
      <w:r>
        <w:rPr>
          <w:rFonts w:ascii="Georgia" w:hAnsi="Georgia"/>
          <w:color w:val="333333"/>
          <w:sz w:val="22"/>
        </w:rPr>
        <w:t xml:space="preserve"> </w:t>
      </w:r>
      <m:oMath>
        <m:r>
          <m:rPr>
            <m:sty m:val="p"/>
          </m:rPr>
          <m:t>→</m:t>
        </m:r>
      </m:oMath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Genetics</w:t>
      </w:r>
      <w:r>
        <w:rPr>
          <w:rFonts w:ascii="Georgia" w:hAnsi="Georgia"/>
          <w:color w:val="333333"/>
          <w:sz w:val="22"/>
        </w:rPr>
        <w:t xml:space="preserve"> </w:t>
      </w:r>
      <m:oMath>
        <m:r>
          <m:rPr>
            <m:sty m:val="p"/>
          </m:rPr>
          <m:t>→</m:t>
        </m:r>
      </m:oMath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Therapeutics</w:t>
      </w:r>
      <w:r>
        <w:rPr>
          <w:rFonts w:ascii="Georgia" w:hAnsi="Georgia"/>
          <w:color w:val="333333"/>
          <w:sz w:val="22"/>
        </w:rPr>
        <w:t xml:space="preserve"> </w:t>
      </w:r>
      <m:oMath>
        <m:r>
          <m:rPr>
            <m:sty m:val="p"/>
          </m:rPr>
          <m:t>→</m:t>
        </m:r>
      </m:oMath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Wellness), acquiring assets that plug gaps in this holistic loop.</w:t>
      </w:r>
    </w:p>
    <w:p>
      <w:pPr>
        <w:pStyle w:val="BodyText"/>
        <w:keepNext/>
        <w:spacing w:after="240" w:before="120"/>
        <w:jc w:val="center"/>
      </w:pPr>
      <w:r>
        <w:rPr>
          <w:rFonts w:ascii="Arial" w:hAnsi="Arial"/>
          <w:b/>
          <w:bCs/>
          <w:i/>
          <w:color w:val="8B9BA5"/>
          <w:sz w:val="18"/>
        </w:rPr>
        <w:t xml:space="preserve">Figure 40: M&amp;A valuation matrix favors de-risked assets over internal R&amp;D development.</w:t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color w:val="8B9BA5"/>
          <w:sz w:val="18"/>
        </w:rPr>
        <w:drawing>
          <wp:inline>
            <wp:extent cx="5334000" cy="3166441"/>
            <wp:effectExtent b="0" l="0" r="0" t="0"/>
            <wp:docPr descr="M&amp;A valuation matrix favors de-risked assets over internal R&amp;D development." title="" id="128" name="Picture"/>
            <a:graphic>
              <a:graphicData uri="http://schemas.openxmlformats.org/drawingml/2006/picture">
                <pic:pic>
                  <pic:nvPicPr>
                    <pic:cNvPr descr="figures/Figure_MA_Matrix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6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8B9BA5"/>
          <w:sz w:val="18"/>
        </w:rPr>
        <w:t xml:space="preserve"> </w:t>
      </w:r>
      <w:r>
        <w:rPr>
          <w:rFonts w:ascii="Arial" w:hAnsi="Arial"/>
          <w:i/>
          <w:iCs/>
          <w:color w:val="8B9BA5"/>
          <w:sz w:val="18"/>
        </w:rPr>
        <w:t xml:space="preserve">Source: Internal Deal Flow Analysis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Capital Markets Create Two Distinct Valuation Tiers.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Valuations reflect the bifurcation of the underlying assets (Table III.1).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Tier 1 (IP-Rich)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companies—those with patented molecules and clinical dossiers—trade 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16x–22x EBITDA</w:t>
      </w:r>
      <w:r>
        <w:rPr>
          <w:rFonts w:ascii="Georgia" w:hAnsi="Georgia"/>
          <w:color w:val="333333"/>
          <w:sz w:val="22"/>
        </w:rPr>
        <w:t xml:space="preserve">, as investors pay for the defensibility of the cash flow (e.g., Swedencare’s acquisition of NaturVet).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Tier 2 (Commodity)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brands, competing on price or generic ingredients, trade at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8x–11x EBITDA</w:t>
      </w:r>
      <w:r>
        <w:rPr>
          <w:rFonts w:ascii="Georgia" w:hAnsi="Georgia"/>
          <w:color w:val="333333"/>
          <w:sz w:val="22"/>
        </w:rPr>
        <w:t xml:space="preserve">. This arbitrage confirms that the market values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Moats over Revenue</w:t>
      </w:r>
      <w:r>
        <w:rPr>
          <w:rFonts w:ascii="Georgia" w:hAnsi="Georgia"/>
          <w:color w:val="333333"/>
          <w:sz w:val="22"/>
        </w:rPr>
        <w:t xml:space="preserve">: a smaller, protected revenue stream is worth more than a larger, commoditized one.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Table III.1: Benchmark Transactions Define the Premium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Target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Acquirer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Deal Value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Implied Valuation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Strategic Rationale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|:— |:— |:— |:— |:—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Zesty Paws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H&amp;H Group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$610M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~16x EBITDA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Omnichannel dominance +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“Pet Humanization”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brand equity.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NaturVet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Swedencare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$447M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~21.4x EBITDA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Manufacturing capacity + Soft Chew IP ownership.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FoodScience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MSCP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Undisclosed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Premium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Veterinary channel access (VetriScience brand).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Zoetis MFA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Phibro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$350M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Asset Sale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Zoetis divestiture of low-margin/regulatory-risk assets. |</w:t>
      </w:r>
    </w:p>
    <w:p>
      <w:pPr>
        <w:pStyle w:val="Heading2"/>
        <w:spacing w:before="360" w:after="120"/>
      </w:pPr>
      <w:r>
        <w:rPr>
          <w:rFonts w:ascii="Arial" w:hAnsi="Arial"/>
          <w:b/>
          <w:color w:val="003057"/>
          <w:sz w:val="36"/>
        </w:rPr>
        <w:t xml:space="preserve">III.3. Deep Tech Defines the Future Frontier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Innovation Pivots from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“Chemistry”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to</w:t>
      </w:r>
      <w:r>
        <w:rPr>
          <w:rFonts w:ascii="Georgia" w:hAnsi="Georgia"/>
          <w:b/>
          <w:bCs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“Code”</w:t>
      </w:r>
      <w:r>
        <w:rPr>
          <w:rFonts w:ascii="Georgia" w:hAnsi="Georgia"/>
          <w:b/>
          <w:bCs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next decade of value creation will be defined by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Biomanufacturing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Synthetic Biology</w:t>
      </w:r>
      <w:r>
        <w:rPr>
          <w:rFonts w:ascii="Georgia" w:hAnsi="Georgia"/>
          <w:color w:val="333333"/>
          <w:sz w:val="22"/>
        </w:rPr>
        <w:t xml:space="preserve">. Engineering biological logic—using microbes to programmatically express proteins—is replacing traditional extraction. Companies like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BiomEdit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(designing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“living medicines”</w:t>
      </w:r>
      <w:r>
        <w:rPr>
          <w:rFonts w:ascii="Georgia" w:hAnsi="Georgia"/>
          <w:color w:val="333333"/>
          <w:sz w:val="22"/>
        </w:rPr>
        <w:t xml:space="preserve">) 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Bond Pet Foods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(brewing nature-identical meat proteins) are proving that the future of nutrition is not grown in a field, but brewed in a tank. This shift from agriculture to fermenter-based production decouples the supply chain from climate volatility and ethical concerns.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Methane Mitigation Creates a New Asset Class.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Climate policy is creating an entirely new asset class: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Methane Mitigation</w:t>
      </w:r>
      <w:r>
        <w:rPr>
          <w:rFonts w:ascii="Georgia" w:hAnsi="Georgia"/>
          <w:color w:val="333333"/>
          <w:sz w:val="22"/>
        </w:rPr>
        <w:t xml:space="preserve">. Technologies like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3-NOP (Bovaer)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are the regulatory gold standard, but challengers like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Rumin8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(bioactive oils) and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Symbrosia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(seaweed) are industrializing rapidly. This sector is unique because it sells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“Compliance,”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not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“Nutrition.”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As global dairy and beef chains commit to Net Zero, these additives become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“License to Operate,”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guaranteeing demand independent of traditional productivity metrics.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Longevity and Geroprotection represent the Final Frontier.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ultimate expression of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“Humanization”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thesis is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Longevity</w:t>
      </w:r>
      <w:r>
        <w:rPr>
          <w:rFonts w:ascii="Georgia" w:hAnsi="Georgia"/>
          <w:color w:val="333333"/>
          <w:sz w:val="22"/>
        </w:rPr>
        <w:t xml:space="preserve">. Owners are no longer satisfied with managing old age; they want to delay it.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Loyal (Cellular Longevity)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is pioneering FDA-approved drugs specifically for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Lifespan Extension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(LOY-001), signaling a paradigm shift where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“Aging”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becomes a treatable indication. Along with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Gallant’s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stem cell banking, these technologies suggest a future where the highest value nutraceuticals are those that fundamentally alter the biological clock.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Conclusion: The New Asset Class is Defined by Technology.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“Initiation of Coverage”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verdict is definitive: Nutraceuticals have graduated from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“Wild West”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to become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Biological Infrastructure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of the global food and companion animal systems. Alpha generation now belongs to those who own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Technology of Effectiveness</w:t>
      </w:r>
      <w:r>
        <w:rPr>
          <w:rFonts w:ascii="Georgia" w:hAnsi="Georgia"/>
          <w:color w:val="333333"/>
          <w:sz w:val="22"/>
        </w:rPr>
        <w:t xml:space="preserve">.</w:t>
      </w:r>
    </w:p>
    <w:p>
      <w:pPr>
        <w:keepNext/>
        <w:spacing w:after="120"/>
        <w:jc w:val="both"/>
      </w:pPr>
      <w:r>
        <w:rPr>
          <w:rFonts w:ascii="Georgia" w:hAnsi="Georgia"/>
          <w:color w:val="333333"/>
          <w:sz w:val="22"/>
        </w:rPr>
        <w:pict>
          <v:rect style="width:0;height:1.5pt" o:hralign="center" o:hrstd="t" o:hr="t"/>
        </w:pict>
      </w:r>
    </w:p>
    <w:p>
      <w:pPr>
        <w:pStyle w:val="Heading1"/>
        <w:pageBreakBefore/>
        <w:spacing w:before="480" w:after="240"/>
      </w:pPr>
      <w:r>
        <w:rPr>
          <w:rFonts w:ascii="Arial" w:hAnsi="Arial"/>
          <w:b/>
          <w:color w:val="D04A02"/>
          <w:sz w:val="48"/>
        </w:rPr>
        <w:t xml:space="preserve">Appendices</w:t>
      </w:r>
    </w:p>
    <w:p>
      <w:pPr>
        <w:pStyle w:val="FirstParagraph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A. Methodology &amp; Data Sources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This report triangulates primary regulatory filings (FDA, EFSA, MARA) with corporate financial disclosures (10-K, Annual Reports) and scientific literature. Market sizing models account for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“Grey Zone”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by strictly filtering for functional/active ingredients and excluding generic commodities.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B. Key Industry Players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Zoetis: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global standard for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“Continuum of Care”</w:t>
      </w:r>
      <w:r>
        <w:rPr>
          <w:rFonts w:ascii="Georgia" w:hAnsi="Georgia"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DSM-Firmenich: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leader in upstream nutritional IP and sustainability (Bovaer).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Swedencare: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aggregator of premium functional pet brands.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Elanco: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pure-play challenge in livestock efficiency.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Purina / Mars: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The consumer giants defining the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“Wellness”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shelf.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C. Regulatory Reference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US: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FDA GFI #293 (AFIA), Innovative FEED Act.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EU: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Reg (EC) 1831/2003 (Zootechnical Additives).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China: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MARA Decree 20 (Feed Additives Catalogue).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Disclaimer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This document is a strategic whitepaper simulating an Equity Research</w:t>
      </w:r>
      <w:r>
        <w:rPr>
          <w:rFonts w:ascii="Georgia" w:hAnsi="Georgia"/>
          <w:i/>
          <w:iCs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“Initiation of Coverage”</w:t>
      </w:r>
      <w:r>
        <w:rPr>
          <w:rFonts w:ascii="Georgia" w:hAnsi="Georgia"/>
          <w:i/>
          <w:iCs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report. It is for informational purposes only and does not constitute financial advice.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D. Comprehensive Industry Players &amp; References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Key Market Players (Detailed)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Company | Country | Category | Key Product/Focus | Target Species | Strategic Summary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— | — | — | — | — | —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AB Vista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UK | Livestock Feed | Econase XT | Poultry | Performance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Agrivida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Biotech | GraINzyme | Poultry | Corn-embedded enzymes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Alltech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Additives | Yea-Sacc | Multi | Yeast culture leader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Anizome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UK/USA | Microbiome | Therapeutic Disc. | Multi | Microbiome therapeutics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AnimalBiome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Pet Health | FMT Capsules | Pet | Microbiome restoration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Axiota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Immunology | Multimin 90 | Cattle | Injectable minerals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Balchem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Encapsulation | ReaShure | Dairy | Choline precision delivery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BioAtla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Biotech | Conditional Antibodies | Pet | Oncology therapeutics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Biofeyn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France | Aquaculture | Bio-encapsulation | Aqua | Nutrient delivery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BiomEdit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Synthetic Bio | Biome-Actives | Livestock | Living medicines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Bond Pet Foods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Biotech | Brewed Protein | Pet | Cruelty-free protein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Ceva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France | Animal Health | Feliway | Pet | Pheromone behavior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Dechra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UK | Pharma | Specific Diets | Pet | Therapeutic nutrition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DSM-Firmenich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Swiss | Ingredients | Bovaer (3-NOP) | Ruminants | Methane reduction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Elanco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Pharma | Experior | Cattle | Ammonia reduction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Gnubiotics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Swiss | Biotech | Glycans | Pet | HMO analogs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H&amp;H Group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HK | Consumer | Zesty Paws | Pet | Premium supplements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Hill’s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Pet Food | Prescription Diet | Pet | Clinical nutrition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Innovafeed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France | Insect Protein | Black Soldier Fly | Aqua/Pet | Sustainable protein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Kemin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Ingredients | Betafin | Multi | Natural preservation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Loyal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Biotech | LOY-001 | Dog | Longevity metrics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Mars Petcare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Conglomerate | Royal Canin | Pet | Health nutrition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MicroHarvest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Germany | Biotech | Single Cell Protein | Aqua/Pet | Fast protein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Mootral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Swiss | AgTech | Mootral Ruminant | Cattle | Natural methane red.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Native Microbials</w:t>
      </w:r>
      <w:r>
        <w:rPr>
          <w:rFonts w:ascii="Georgia" w:hAnsi="Georgia"/>
          <w:color w:val="333333"/>
          <w:sz w:val="22"/>
        </w:rPr>
        <w:t xml:space="preserve">| USA | Biotech | Galaxis | Dairy | Rumen native microbes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Native Pet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Consumer | Clean Label | Pet | Minimalist supplements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Nestlé Purina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Swiss | Conglomerate | Pro Plan | Pet | Fortified nutrition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Novonesis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Denmark | Biosolutions | Probiotics | Multi | Enzyme/Microbe leader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Nutramax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Consumer | Cosequin | Pet | Joint health standard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Phibro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Additives | OmniGen | Dairy | Immunity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Phytobiotics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Germany | Additives | Sangrovit | Swine | Phytogenic inflammation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Proteon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Poland | Biotech | BAFASAL | Poultry | Bacteriophages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Roquette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France | Ingredients | Pea Protein | Multi | Plant-based ingredients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Rumin8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Australia| Climate Tech | Methane Reducer | Cattle | Oil-based delivery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Swedencare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Sweden | Consumer | ProDen PlaqueOff | Pet | Oral health patent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Symbrosia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Climate Tech | SeaGraze | Cattle | Seaweed methane red.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Symrise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Germany | Ingredients | Palatability | Pet | Taste/Flavor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Vetoquinol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France | Pharma | Flexadin | Pet | Joint supports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Veramaris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Dutch | Ingredients | Algal Oil | Aqua/Pet | Sustainable Omega-3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Vetnique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Consumer | Glandex | Pet | Anal gland health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Virbac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France | Pharma | HPM Diets | Pet | Veterinary nutrition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Wild Earth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Consumer | Koji Protein | Pet | Fungi-based protein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YuMOVE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UK | Consumer | Mobility Chews | Pet | Clinical joint leader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Zesty Paws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Consumer | Multifunctional | Pet | E-commerce leader 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Zoetis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| USA | Pharma | Clarify (Dx) | Multi | Continuum of care |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Comprehensive References &amp; Market Data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Market Intelligence Sources: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Grand View Research.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(2024).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Animal Health Market Size &amp; Share Analysis Report, 2030.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Euromonitor International.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(2024).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Pet Care Global Market Data 2024.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Nutrition Business Journal (NBJ).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(2023).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Supplement Business Report 2023.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Future Market Insights.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(2024).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Animal Feed Additives Market Outlook.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MarketsandMarkets.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(2023).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Probiotics in Animal Feed Market - Global Forecast to 2028.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FEDIAF.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(2024).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European Pet Food Industry: Facts &amp; Figures 2023.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American Pet Products Association (APPA).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(2024).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National Pet Owners Survey (2023-2024).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FAO (Food and Agriculture Organization).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(2024).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The State of World Fisheries and Aquaculture (SOFIA) 2024.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Eurostat.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(2024).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Agricultural Production - Livestock and Meat (2023 Data).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Mordor Intelligence.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(2024).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Global Animal Nutraceuticals Market Size &amp; Share Analysis.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Consumer Psychology &amp; Scientific Literature: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Nicotra, M., et al.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(2025).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“Nutraceuticals, Social Interaction, and Psychophysiological Influence on Pet Health and Well-Being.”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Veterinary Sciences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12.10: 964.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Roush, J. K., et al.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(2010).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“Multicenter veterinary practice assessment of the effects of omega-3 fatty acids on osteoarthritis in dogs.”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JAVMA</w:t>
      </w:r>
      <w:r>
        <w:rPr>
          <w:rFonts w:ascii="Georgia" w:hAnsi="Georgia"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Gupta, R. C., et al.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(2012).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“Comparative therapeutic efficacy and safety of type-II collagen (UC-II)…”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J. Anim. Physiol. Anim. Nutr.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Vandeweerd, J. M., et al.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(2012).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“Systematic review of efficacy of nutraceuticals to alleviate clinical signs of osteoarthritis.”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JVIM</w:t>
      </w:r>
      <w:r>
        <w:rPr>
          <w:rFonts w:ascii="Georgia" w:hAnsi="Georgia"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Comblain, F., et al.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(2016).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“Review of dietary supplements for the management of osteoarthritis in dogs.”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Critical Reviews in Food Science and Nutrition</w:t>
      </w:r>
      <w:r>
        <w:rPr>
          <w:rFonts w:ascii="Georgia" w:hAnsi="Georgia"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Kelley, R. L., et al.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(2009).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“Clinical efficacy of probiotics in the treatment of acute diarrhea in dogs.”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JVIM</w:t>
      </w:r>
      <w:r>
        <w:rPr>
          <w:rFonts w:ascii="Georgia" w:hAnsi="Georgia"/>
          <w:color w:val="333333"/>
          <w:sz w:val="22"/>
        </w:rPr>
        <w:t xml:space="preserve">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Cowieson, A. J., et al.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(2020).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“Phytase in animal nutrition and its efficacy.”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i/>
          <w:iCs/>
          <w:color w:val="333333"/>
          <w:sz w:val="22"/>
        </w:rPr>
        <w:t xml:space="preserve">Animal Production Science</w:t>
      </w:r>
      <w:r>
        <w:rPr>
          <w:rFonts w:ascii="Georgia" w:hAnsi="Georgia"/>
          <w:color w:val="333333"/>
          <w:sz w:val="22"/>
        </w:rPr>
        <w:t xml:space="preserve">.</w:t>
      </w:r>
    </w:p>
    <w:p>
      <w:pPr>
        <w:pStyle w:val="BodyText"/>
        <w:spacing w:after="160"/>
        <w:jc w:val="both"/>
      </w:pPr>
      <w:r>
        <w:rPr>
          <w:rFonts w:ascii="Georgia" w:hAnsi="Georgia"/>
          <w:b/>
          <w:bCs/>
          <w:color w:val="333333"/>
          <w:sz w:val="22"/>
        </w:rPr>
        <w:t xml:space="preserve">Corporate Filings (2023-2025):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Zoetis Inc.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(Form 10-K).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Elanco Animal Health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(Investor Presentations).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DSM-Firmenich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(Integrated Annual Report).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Nestlé Purina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(Creating Shared Value).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Swedencare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(Year-End Report).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Virbac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(Annual Financial Report).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*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b/>
          <w:bCs/>
          <w:color w:val="333333"/>
          <w:sz w:val="22"/>
        </w:rPr>
        <w:t xml:space="preserve">Dechra Pharmaceuticals</w:t>
      </w:r>
      <w:r>
        <w:rPr>
          <w:rFonts w:ascii="Georgia" w:hAnsi="Georgia"/>
          <w:color w:val="333333"/>
          <w:sz w:val="22"/>
        </w:rPr>
        <w:t xml:space="preserve"> </w:t>
      </w:r>
      <w:r>
        <w:rPr>
          <w:rFonts w:ascii="Georgia" w:hAnsi="Georgia"/>
          <w:color w:val="333333"/>
          <w:sz w:val="22"/>
        </w:rPr>
        <w:t xml:space="preserve">(Annual Report).</w:t>
      </w:r>
    </w:p>
    <w:p>
      <w:pPr>
        <w:pStyle w:val="Heading1"/>
        <w:pageBreakBefore/>
        <w:spacing w:before="480" w:after="240"/>
      </w:pPr>
      <w:r>
        <w:rPr>
          <w:rFonts w:ascii="Arial" w:hAnsi="Arial"/>
          <w:b/>
          <w:color w:val="D04A02"/>
          <w:sz w:val="48"/>
        </w:rPr>
        <w:t xml:space="preserve">Summary of Figure Adjustments</w:t>
      </w:r>
    </w:p>
    <w:tbl>
      <w:tblPr>
        <w:tblStyle w:val="Table"/>
        <w:tblW w:type="pct" w:w="5000"/>
        <w:jc w:val="center"/>
        <w:tblLayout w:type="autofit"/>
        <w:tblLook w:firstRow="1" w:lastRow="0" w:firstColumn="0" w:lastColumn="0" w:noHBand="0" w:noVBand="0" w:val="0020"/>
        <w:tblBorders>
          <w:top w:val="single" w:sz="12" w:space="0" w:color="003057"/>
          <w:bottom w:val="single" w:sz="12" w:space="0" w:color="003057"/>
          <w:insideH w:val="single" w:sz="4" w:space="0" w:color="CCCCCC"/>
          <w:left w:val="nil"/>
          <w:right w:val="nil"/>
          <w:insideV w:val="nil"/>
        </w:tblBorders>
      </w:tblPr>
      <w:tblGrid>
        <w:gridCol w:w="2640"/>
        <w:gridCol w:w="2640"/>
        <w:gridCol w:w="2640"/>
      </w:tblGrid>
      <w:tr>
        <w:trPr>
          <w:tblHeader w:val="on"/>
        </w:trPr>
        <w:tc>
          <w:tcPr>
            <w:shd w:fill="003057"/>
          </w:tcPr>
          <w:p>
            <w:pPr>
              <w:pStyle w:val="Compact"/>
              <w:jc w:val="left"/>
            </w:pPr>
            <w:r>
              <w:rPr>
                <w:rFonts w:ascii="Arial" w:hAnsi="Arial"/>
                <w:b/>
                <w:color w:val="FFFFFF"/>
                <w:sz w:val="20"/>
              </w:rPr>
              <w:t xml:space="preserve">Original File</w:t>
            </w:r>
          </w:p>
        </w:tc>
        <w:tc>
          <w:tcPr>
            <w:shd w:fill="003057"/>
          </w:tcPr>
          <w:p>
            <w:pPr>
              <w:pStyle w:val="Compact"/>
              <w:jc w:val="left"/>
            </w:pPr>
            <w:r>
              <w:rPr>
                <w:rFonts w:ascii="Arial" w:hAnsi="Arial"/>
                <w:b/>
                <w:color w:val="FFFFFF"/>
                <w:sz w:val="20"/>
              </w:rPr>
              <w:t xml:space="preserve">New Number</w:t>
            </w:r>
          </w:p>
        </w:tc>
        <w:tc>
          <w:tcPr>
            <w:shd w:fill="003057"/>
          </w:tcPr>
          <w:p>
            <w:pPr>
              <w:pStyle w:val="Compact"/>
              <w:jc w:val="left"/>
            </w:pPr>
            <w:r>
              <w:rPr>
                <w:rFonts w:ascii="Arial" w:hAnsi="Arial"/>
                <w:b/>
                <w:color w:val="FFFFFF"/>
                <w:sz w:val="20"/>
              </w:rPr>
              <w:t xml:space="preserve">Key Takeaway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Table_US_vs_EU.png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Regulatory Divergence creates structural barriers to entry for non-compliant actors.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Timeline_Regulations.png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Regulatory accelerators like AGP bans have historically driven volume adoption.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Figure_I_3_Regulatory_Matrix.png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Regulatory pathways dictate unit economics and allowable claims.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Figure_TAM_Reconciliation.png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4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Market reconciliation excludes commodities to define the investable high-value universe.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Matrix_Species_Functional.png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5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Functional architecture maps biological needs to commercial opportunities.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Figure_II_0_1_Innovation_Matrix.png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6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R&amp;D intensity correlates directly with EBITDA margin expansion/premium.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Figure_II_0_2_Market_Bifurcation.png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7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Structural bifurcation splits the market into Emotional (Pet) and ROI (Livestock) economies.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Figure_II_1_Matrix.png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8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Efficacy levels in Mobility define market positioning and pricing power.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Figure_II_2_Matrix.png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9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Gut Health strategy shifts from generic digestion to precision microbiome modulation.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Figure_II_3_Matrix.png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Immunity solutions build biological resilience for the post-antibiotic era.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Figure_II_4_Matrix.png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11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Cognitive support monetizes the Silver Economy via neuro-preservation.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Figure_II_5_Matrix.png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Non-sedative anxiolysis replaces pharmacological interventions in behavior management.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Figure_II_6_Matrix.png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13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Enzymes and yeast cultures drive Feed Conversion Ratios (FCR) in livestock.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Figure_II_7_Matrix.png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14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Visual health attributes like pigmentation and dermatology command functional premiums.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Figure_II_8_Matrix.png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15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Safety appeal drives the adoption of natural repellents over chemical actives.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Figure_II_9_Matrix.png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16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Gene-expression data constructs a defensible moat of validation around ingredients.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Figure_II_10_Matrix.png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17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Advanced delivery formats ensure bioavailability and maximize compliance.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Figure_II_11_Matrix.png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18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Sustainability metrics like methane reduction are becoming non-negotiable procurement specs.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Figure1_Pet_Ownership.png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19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Developed markets prioritize</w:t>
            </w:r>
            <w:r>
              <w:rPr>
                <w:rFonts w:ascii="Arial" w:hAnsi="Arial"/>
                <w:sz w:val="18"/>
              </w:rPr>
              <w:t xml:space="preserve"> </w:t>
            </w:r>
            <w:r>
              <w:rPr>
                <w:rFonts w:ascii="Arial" w:hAnsi="Arial"/>
                <w:sz w:val="18"/>
              </w:rPr>
              <w:t xml:space="preserve">‘Value over Volume’</w:t>
            </w:r>
            <w:r>
              <w:rPr>
                <w:rFonts w:ascii="Arial" w:hAnsi="Arial"/>
                <w:sz w:val="18"/>
              </w:rPr>
              <w:t xml:space="preserve"> </w:t>
            </w:r>
            <w:r>
              <w:rPr>
                <w:rFonts w:ascii="Arial" w:hAnsi="Arial"/>
                <w:sz w:val="18"/>
              </w:rPr>
              <w:t xml:space="preserve">in pet ownership trends.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Figure2_EU_Pet_Pop.png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European demographics show a structural dominance of the feline segment.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Figure3_EU_Growth.png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21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Feline segment growth outpaces canine due to urbanization constraints.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Figure4_Regional_Market.png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APAC emerging as the primary volume engine for the next decade.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Figure9_Livestock_Trends.png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23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Global protein production shifts favor poultry and aquaculture over ruminants.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Figure5_Probiotics_Share.png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24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Probiotics volume share reflects the dominance of poultry and swine sectors.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Figure6_Poultry_HPAI.png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25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Disease outbreaks act as catalysts for immune-modulating additive demand.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Figure7_Swine_Decline.png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26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Regulatory pressures drive structural contraction in Western swine herds.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Figure8_Cattle_Inventory.png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27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Western de-ruminization shifts value from herd size to efficiency-per-head.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Figure11_Aquaculture_Production.png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28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The</w:t>
            </w:r>
            <w:r>
              <w:rPr>
                <w:rFonts w:ascii="Arial" w:hAnsi="Arial"/>
                <w:sz w:val="18"/>
              </w:rPr>
              <w:t xml:space="preserve"> </w:t>
            </w:r>
            <w:r>
              <w:rPr>
                <w:rFonts w:ascii="Arial" w:hAnsi="Arial"/>
                <w:sz w:val="18"/>
              </w:rPr>
              <w:t xml:space="preserve">‘Blue Transformation’</w:t>
            </w:r>
            <w:r>
              <w:rPr>
                <w:rFonts w:ascii="Arial" w:hAnsi="Arial"/>
                <w:sz w:val="18"/>
              </w:rPr>
              <w:t xml:space="preserve"> </w:t>
            </w:r>
            <w:r>
              <w:rPr>
                <w:rFonts w:ascii="Arial" w:hAnsi="Arial"/>
                <w:sz w:val="18"/>
              </w:rPr>
              <w:t xml:space="preserve">drives industrialization and functional additive needs in aqua.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Figure14_Psychology.png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29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Purchasing psychology is driven more by the fear of loss than aspirational health.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Figure11_Formats.png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Palatability and format dictate compliance, which is a key efficacy driver.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Figure13_Segmentation.png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31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High-spending households drive the majority of revenue in the pet wellness category.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Figure12_Wallet.png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Nutraceuticals have captured a dominant share of the preventive care wallet.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Figure15_Mobility_Evo.png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33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Category premiumization evolves from generic ingredients to IP-backed solutions.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Figure16_Senior_Growth.png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34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Determining validity of</w:t>
            </w:r>
            <w:r>
              <w:rPr>
                <w:rFonts w:ascii="Arial" w:hAnsi="Arial"/>
                <w:sz w:val="18"/>
              </w:rPr>
              <w:t xml:space="preserve"> </w:t>
            </w:r>
            <w:r>
              <w:rPr>
                <w:rFonts w:ascii="Arial" w:hAnsi="Arial"/>
                <w:sz w:val="18"/>
              </w:rPr>
              <w:t xml:space="preserve">‘Pre-Senior’</w:t>
            </w:r>
            <w:r>
              <w:rPr>
                <w:rFonts w:ascii="Arial" w:hAnsi="Arial"/>
                <w:sz w:val="18"/>
              </w:rPr>
              <w:t xml:space="preserve"> </w:t>
            </w:r>
            <w:r>
              <w:rPr>
                <w:rFonts w:ascii="Arial" w:hAnsi="Arial"/>
                <w:sz w:val="18"/>
              </w:rPr>
              <w:t xml:space="preserve">segment expands Customer Lifetime Value.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Figure19_Value_Waterfall.png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35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Pricing power erodes as products move from IP owners to generic retailers.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Figure17_Value_Chain.png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36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Margin capture shifts upstream to IP holders and downstream to specialized CDMOs.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Figure18_Channel_Economics.png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37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Channel economics favor omnichannel dominance but penalize pure-play DTC.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Figure21_Pharma_Funnel.png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38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Incumbents utilize nutraceuticals as a low-cost acquisition funnel for future banking.</w:t>
            </w:r>
          </w:p>
        </w:tc>
      </w:tr>
      <w:tr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Figure20_Risk_Reward.png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39</w:t>
            </w:r>
          </w:p>
        </w:tc>
        <w:tc>
          <w:tcPr>
            <w:shd w:fill="f4f6f8"/>
          </w:tcPr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Strategic categorization defines the risk-reward profile for market entrants.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Figure_MA_Matrix.png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Figure 40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ascii="Arial" w:hAnsi="Arial"/>
                <w:sz w:val="18"/>
              </w:rPr>
              <w:t xml:space="preserve">M&amp;A valuation matrix favors de-risked assets over internal R&amp;D development.</w:t>
            </w:r>
          </w:p>
        </w:tc>
      </w:tr>
    </w:tbl>
    <w:sectPr>
      <w:footnotePr>
        <w:numRestart w:val="eachSect"/>
      </w:footnotePr>
      <w:pgSz w:h="16834" w:w="11909"/>
      <w:pgMar w:top="1440" w:bottom="1440" w:left="1440" w:right="144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numbering" Target="numbering.xml"/><Relationship Id="rId7" Type="http://schemas.openxmlformats.org/officeDocument/2006/relationships/styles" Target="styles.xml"/><Relationship Id="rId6" Type="http://schemas.openxmlformats.org/officeDocument/2006/relationships/settings" Target="settings.xml"/><Relationship Id="rId5" Type="http://schemas.openxmlformats.org/officeDocument/2006/relationships/webSettings" Target="webSettings.xml"/><Relationship Id="rId4" Type="http://schemas.openxmlformats.org/officeDocument/2006/relationships/fontTable" Target="fontTable.xml"/><Relationship Id="rId3" Type="http://schemas.openxmlformats.org/officeDocument/2006/relationships/theme" Target="theme/theme1.xml"/><Relationship Id="rId2" Type="http://schemas.openxmlformats.org/officeDocument/2006/relationships/footnotes" Target="footnotes.xml"/><Relationship Id="rId1" Type="http://schemas.openxmlformats.org/officeDocument/2006/relationships/comments" Target="comments.xml"/><Relationship Id="rId90" Type="http://schemas.openxmlformats.org/officeDocument/2006/relationships/image" Target="media/rId90.png"/><Relationship Id="rId97" Type="http://schemas.openxmlformats.org/officeDocument/2006/relationships/image" Target="media/rId97.png"/><Relationship Id="rId103" Type="http://schemas.openxmlformats.org/officeDocument/2006/relationships/image" Target="media/rId103.png"/><Relationship Id="rId100" Type="http://schemas.openxmlformats.org/officeDocument/2006/relationships/image" Target="media/rId100.png"/><Relationship Id="rId94" Type="http://schemas.openxmlformats.org/officeDocument/2006/relationships/image" Target="media/rId94.png"/><Relationship Id="rId106" Type="http://schemas.openxmlformats.org/officeDocument/2006/relationships/image" Target="media/rId106.png"/><Relationship Id="rId109" Type="http://schemas.openxmlformats.org/officeDocument/2006/relationships/image" Target="media/rId109.png"/><Relationship Id="rId117" Type="http://schemas.openxmlformats.org/officeDocument/2006/relationships/image" Target="media/rId117.png"/><Relationship Id="rId114" Type="http://schemas.openxmlformats.org/officeDocument/2006/relationships/image" Target="media/rId114.png"/><Relationship Id="rId62" Type="http://schemas.openxmlformats.org/officeDocument/2006/relationships/image" Target="media/rId62.png"/><Relationship Id="rId123" Type="http://schemas.openxmlformats.org/officeDocument/2006/relationships/image" Target="media/rId123.png"/><Relationship Id="rId120" Type="http://schemas.openxmlformats.org/officeDocument/2006/relationships/image" Target="media/rId120.png"/><Relationship Id="rId65" Type="http://schemas.openxmlformats.org/officeDocument/2006/relationships/image" Target="media/rId65.png"/><Relationship Id="rId68" Type="http://schemas.openxmlformats.org/officeDocument/2006/relationships/image" Target="media/rId68.png"/><Relationship Id="rId71" Type="http://schemas.openxmlformats.org/officeDocument/2006/relationships/image" Target="media/rId71.png"/><Relationship Id="rId78" Type="http://schemas.openxmlformats.org/officeDocument/2006/relationships/image" Target="media/rId78.png"/><Relationship Id="rId81" Type="http://schemas.openxmlformats.org/officeDocument/2006/relationships/image" Target="media/rId81.png"/><Relationship Id="rId84" Type="http://schemas.openxmlformats.org/officeDocument/2006/relationships/image" Target="media/rId84.png"/><Relationship Id="rId87" Type="http://schemas.openxmlformats.org/officeDocument/2006/relationships/image" Target="media/rId87.png"/><Relationship Id="rId75" Type="http://schemas.openxmlformats.org/officeDocument/2006/relationships/image" Target="media/rId75.png"/><Relationship Id="rId26" Type="http://schemas.openxmlformats.org/officeDocument/2006/relationships/image" Target="media/rId26.png"/><Relationship Id="rId29" Type="http://schemas.openxmlformats.org/officeDocument/2006/relationships/image" Target="media/rId29.png"/><Relationship Id="rId54" Type="http://schemas.openxmlformats.org/officeDocument/2006/relationships/image" Target="media/rId54.png"/><Relationship Id="rId57" Type="http://schemas.openxmlformats.org/officeDocument/2006/relationships/image" Target="media/rId57.png"/><Relationship Id="rId33" Type="http://schemas.openxmlformats.org/officeDocument/2006/relationships/image" Target="media/rId33.png"/><Relationship Id="rId42" Type="http://schemas.openxmlformats.org/officeDocument/2006/relationships/image" Target="media/rId42.png"/><Relationship Id="rId45" Type="http://schemas.openxmlformats.org/officeDocument/2006/relationships/image" Target="media/rId45.png"/><Relationship Id="rId36" Type="http://schemas.openxmlformats.org/officeDocument/2006/relationships/image" Target="media/rId36.png"/><Relationship Id="rId39" Type="http://schemas.openxmlformats.org/officeDocument/2006/relationships/image" Target="media/rId39.png"/><Relationship Id="rId48" Type="http://schemas.openxmlformats.org/officeDocument/2006/relationships/image" Target="media/rId48.png"/><Relationship Id="rId51" Type="http://schemas.openxmlformats.org/officeDocument/2006/relationships/image" Target="media/rId51.png"/><Relationship Id="rId19" Type="http://schemas.openxmlformats.org/officeDocument/2006/relationships/image" Target="media/rId19.png"/><Relationship Id="rId127" Type="http://schemas.openxmlformats.org/officeDocument/2006/relationships/image" Target="media/rId127.png"/><Relationship Id="rId22" Type="http://schemas.openxmlformats.org/officeDocument/2006/relationships/image" Target="media/rId22.png"/><Relationship Id="rId13" Type="http://schemas.openxmlformats.org/officeDocument/2006/relationships/image" Target="media/rId13.png"/><Relationship Id="rId16" Type="http://schemas.openxmlformats.org/officeDocument/2006/relationships/image" Target="media/rId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2026-02-06T11:54:36Z</dcterms:created>
  <dcterms:modified xsi:type="dcterms:W3CDTF">2026-02-06T11:54:36Z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